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Eckdaten der notariellen Urkunde - Grundschuld Mueller</w:t>
      </w:r>
    </w:p>
    <w:p>
      <w:pPr>
        <w:pStyle w:val="Heading2"/>
      </w:pPr>
      <w:r>
        <w:rPr>
          <w:rFonts w:ascii="Times New Roman" w:hAnsi="Times New Roman"/>
        </w:rPr>
        <w:t>Urkundenkopf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Urkunde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Notarielle Urkunde vom 14.6.2017, URNr 882/2017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Notar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Bertram Berghoff, Notar in Krefeld, Ostwall 174, 47798 Krefeld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Erschienene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Bernd Mueller, Dorothea Mueller (gemeinsam als Eigentümer und Sicherungsgeber)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Vertragsart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Bestellung Grundschuld nebst Sicherungszweckerklärung, Unterwerfungserklaerung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Grundschuld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Höhe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380.000,00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Zinsen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 Prozent p.a. (Höchstbetragszinsen)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Nebenleistung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einmalig 10 Prozent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Belastetes Objekt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Grundbuch Krefeld Blatt 12 887, Flurstück 482/19, Beethovenstrasse 12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Abteilung III lfd. Nr. 1 (erster Rang, keine vorrangigen Belastungen)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Sicherungsabrede</w:t>
      </w:r>
    </w:p>
    <w:p>
      <w:pPr>
        <w:jc w:val="left"/>
      </w:pPr>
      <w:r>
        <w:t>Sichert alle bestehenden und zukünftigen Forderungen der Sparkasse Niederrhein aus dem Privatdarlehen Nr. 4717-8821 nebst Zinsen, Kosten und Sicherheitsleistungen, ferner Anschlussfinanzierungen mit derselben Zweckbestimmung.</w:t>
      </w:r>
    </w:p>
    <w:p>
      <w:pPr>
        <w:pStyle w:val="Heading2"/>
      </w:pPr>
      <w:r>
        <w:rPr>
          <w:rFonts w:ascii="Times New Roman" w:hAnsi="Times New Roman"/>
        </w:rPr>
        <w:t>Unterwerfung unter sofortige Zwangsvollstreckung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Reichweite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Dinglich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 den belasteten Grundbesitz nach Paragraf 800 ZPO; auch gegen jeden Rechtsnachfolger im Eigentum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Persönlich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beide Schuldner unterwerfen sich der sofortigen Zwangsvollstreckung in ihr gesamtes Vermögen wegen aller durch die Grundschuld gesicherten Ansprüchen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Klausel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vollstreckbare Ausfertigung am 16.6.2017 erteilt durch den Notar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Zustellung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vollstreckbare Ausfertigung wurde 2017 nicht zugestellt - separate Zustellung nach Paragraf 750 ZPO nötig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Aktueller Stand 25.5.2026</w:t>
      </w:r>
    </w:p>
    <w:p>
      <w:pPr>
        <w:pStyle w:val="ListBullet"/>
      </w:pPr>
      <w:r>
        <w:t>Darlehensvertrag wirksam gekündigt am 5.4.2026 (Zugang 7.4.2026).</w:t>
      </w:r>
    </w:p>
    <w:p>
      <w:pPr>
        <w:pStyle w:val="ListBullet"/>
      </w:pPr>
      <w:r>
        <w:t>Kündigung der Grundschuld nach Paragraf 1193 BGB erfolgt am 12.4.2026 (Zugang 14.4.2026). Fälligkeit dingliche Vollstreckung am 14.10.2026.</w:t>
      </w:r>
    </w:p>
    <w:p>
      <w:pPr>
        <w:pStyle w:val="ListBullet"/>
      </w:pPr>
      <w:r>
        <w:t>Klauselumschreibung Paragraf 727 ZPO nicht erforderlich (Forderung bei ursprünglicher Gläubigerin verblieben, keine Abtretung).</w:t>
      </w:r>
    </w:p>
    <w:p>
      <w:pPr>
        <w:pStyle w:val="ListBullet"/>
      </w:pPr>
      <w:r>
        <w:t>Persönliche Vollstreckung aus Unterwerfung in das Vermögen ist sofort möglich (Paragraf 1193 BGB betrifft nur die Fälligkeit der dinglichen Vollstreckung, nicht der persönlichen Forderung).</w:t>
      </w:r>
    </w:p>
    <w:p>
      <w:pPr>
        <w:pStyle w:val="Heading2"/>
      </w:pPr>
      <w:r>
        <w:rPr>
          <w:rFonts w:ascii="Times New Roman" w:hAnsi="Times New Roman"/>
        </w:rPr>
        <w:t>Erforderliche Schritte</w:t>
      </w:r>
    </w:p>
    <w:p>
      <w:pPr>
        <w:pStyle w:val="ListNumber"/>
      </w:pPr>
      <w:r>
        <w:t>Zustellung der vollstreckbaren Ausfertigung an Bernd und Dorothea Mueller nach Paragraf 750 ZPO (Gerichtsvollzieher).</w:t>
      </w:r>
    </w:p>
    <w:p>
      <w:pPr>
        <w:pStyle w:val="ListNumber"/>
      </w:pPr>
      <w:r>
        <w:t>ZVG-Antrag beim AG Krefeld - Vollstreckungsgericht - ab 14.10.2026 stellen.</w:t>
      </w:r>
    </w:p>
    <w:p>
      <w:pPr>
        <w:pStyle w:val="ListNumber"/>
      </w:pPr>
      <w:r>
        <w:t>Parallel: PfUEB Postbank und DKB sofort (siehe Vorgang 02).</w:t>
      </w:r>
    </w:p>
    <w:p>
      <w:pPr>
        <w:pStyle w:val="ListNumber"/>
      </w:pPr>
      <w:r>
        <w:t>Verkehrswertgutachten Beethovenstrasse 12 antragen - Vermutung Marktwert 650.000 EUR.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