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Wallet B custodial - Forderungspfändung gegen Bitpanda</w:t>
      </w:r>
    </w:p>
    <w:p>
      <w:pPr>
        <w:pStyle w:val="Heading2"/>
      </w:pPr>
      <w:r>
        <w:rPr>
          <w:rFonts w:ascii="Times New Roman" w:hAnsi="Times New Roman"/>
        </w:rPr>
        <w:t>Rechtliche Einordnung</w:t>
      </w:r>
    </w:p>
    <w:p>
      <w:pPr>
        <w:jc w:val="left"/>
      </w:pPr>
      <w:r>
        <w:t xml:space="preserve">Wer Krypto bei einem regulierten Krypto-Verwahrer wie Bitpanda hält, hat einen </w:t>
      </w:r>
      <w:r>
        <w:rPr>
          <w:b/>
        </w:rPr>
        <w:t>schuldrechtlichen Herausgabe- und Auszahlungsanspruch</w:t>
      </w:r>
      <w:r>
        <w:t xml:space="preserve"> gegen den Verwahrer. Das ist eine geldwerte Forderung im Sinne der Paragrafen 829, 835 ZPO. Konsequenz: ganz </w:t>
      </w:r>
      <w:r>
        <w:rPr>
          <w:b/>
        </w:rPr>
        <w:t>klassische Forderungspfändung mittels PfUEB</w:t>
      </w:r>
      <w:r>
        <w:t>, kein Sachpfaendungsantrag.</w:t>
      </w:r>
    </w:p>
    <w:p>
      <w:pPr>
        <w:jc w:val="left"/>
      </w:pPr>
      <w:r>
        <w:t>Drittschuldnerin: Bitpanda GmbH, Stella-Klein-Loew-Weg 17, 1020 Wien. Bitpanda hat eine deutsche Tochter (Bitpanda Asset Management GmbH, Frankfurt) mit BaFin-Erlaubnis Paragraf 1 Abs. 1a Satz 2 Nr. 6 KWG; rechtlich ist aber die Wiener GmbH Vertragspartnerin des Kunden. Daraus folgt der Auslandsbezug, der die Vollstreckung deutlich aufwendiger macht.</w:t>
      </w:r>
    </w:p>
    <w:p>
      <w:pPr>
        <w:pStyle w:val="Heading2"/>
      </w:pPr>
      <w:r>
        <w:rPr>
          <w:rFonts w:ascii="Times New Roman" w:hAnsi="Times New Roman"/>
        </w:rPr>
        <w:t>Anwendbare Skills</w:t>
      </w:r>
    </w:p>
    <w:p>
      <w:pPr>
        <w:pStyle w:val="ListBullet"/>
      </w:pPr>
      <w:r>
        <w:t>zv-pfueb-mieter-finanzamt</w:t>
      </w:r>
      <w:r>
        <w:t xml:space="preserve"> (Forderungspfändung gegen sonstige Drittschuldner; Bitpanda ist weder Bank im Sinne der Skill-Schubladen Bank/Lohn, sondern ein "sonstiger" Drittschuldner)</w:t>
      </w:r>
    </w:p>
    <w:p>
      <w:pPr>
        <w:pStyle w:val="ListBullet"/>
      </w:pPr>
      <w:r>
        <w:t>zv-elektronische-zustellung-2027</w:t>
      </w:r>
      <w:r>
        <w:t xml:space="preserve"> (Bitpanda hat in Deutschland eBO bereits eröffnet; Zustellung in Wien läuft separat über EU-Zustellungs-VO)</w:t>
      </w:r>
    </w:p>
    <w:p>
      <w:pPr>
        <w:pStyle w:val="ListBullet"/>
      </w:pPr>
      <w:r>
        <w:t>zv-abwehr-schuldner</w:t>
      </w:r>
      <w:r>
        <w:t xml:space="preserve"> aus Schuldnersicht</w:t>
      </w:r>
    </w:p>
    <w:p>
      <w:pPr>
        <w:pStyle w:val="ListBullet"/>
      </w:pPr>
      <w:r>
        <w:t>zv-vermoegensauskunft-gv</w:t>
      </w:r>
      <w:r>
        <w:t xml:space="preserve"> (Quelle der Daten)</w:t>
      </w:r>
    </w:p>
    <w:p>
      <w:pPr>
        <w:pStyle w:val="Heading2"/>
      </w:pPr>
      <w:r>
        <w:rPr>
          <w:rFonts w:ascii="Times New Roman" w:hAnsi="Times New Roman"/>
        </w:rPr>
        <w:t>Vollstreckungsweg</w:t>
      </w:r>
    </w:p>
    <w:p>
      <w:pPr>
        <w:jc w:val="left"/>
      </w:pPr>
      <w:r>
        <w:t>Drei Varianten:</w:t>
      </w:r>
    </w:p>
    <w:p>
      <w:pPr>
        <w:pStyle w:val="Heading3"/>
      </w:pPr>
      <w:r>
        <w:rPr>
          <w:rFonts w:ascii="Times New Roman" w:hAnsi="Times New Roman"/>
        </w:rPr>
        <w:t>Variante 1 - PfUEB an deutsche Tochter</w:t>
      </w:r>
    </w:p>
    <w:p>
      <w:pPr>
        <w:jc w:val="left"/>
      </w:pPr>
      <w:r>
        <w:t>Die Bitpanda Asset Management GmbH Frankfurt ist Empfangsbevollmaechtigte der Mutter für aufsichtsrechtliche Zwecke. Eine direkte Inanspruchnahme als Drittschuldnerin scheitert daran, dass nicht sie, sondern die Wiener GmbH Vertragspartnerin ist. Ein PfUEB an die deutsche Tochter wäre unwirksam (es fehlt der "Anspruch des Schuldners gegen die Drittschuldnerin"). Nicht weiterverfolgen.</w:t>
      </w:r>
    </w:p>
    <w:p>
      <w:pPr>
        <w:pStyle w:val="Heading3"/>
      </w:pPr>
      <w:r>
        <w:rPr>
          <w:rFonts w:ascii="Times New Roman" w:hAnsi="Times New Roman"/>
        </w:rPr>
        <w:t>Variante 2 - PfUEB an Bitpanda Wien, Zustellung nach EU-Zustellungs-VO</w:t>
      </w:r>
    </w:p>
    <w:p>
      <w:pPr>
        <w:jc w:val="left"/>
      </w:pPr>
      <w:r>
        <w:t>Beim Vollstreckungsgericht AG Krefeld einen PfUEB beantragen, Drittschuldnerin Bitpanda GmbH Wien. Zustellung nach EU-Zustellungs-VO 2020/1784: das deutsche Vollstreckungsgericht ist Uebermittlungsbehoerde; Empfangsbehörde in Österreich ist regelmaessig das Bezirksgericht am Sitz der Drittschuldnerin (BG Innere Stadt Wien). Zeitfenster ca. 6-12 Wochen.</w:t>
      </w:r>
    </w:p>
    <w:p>
      <w:pPr>
        <w:jc w:val="left"/>
      </w:pPr>
      <w:r>
        <w:t>Vorteil: Forderung wird gepfändet einschliesslich aller Coins und Fiat.</w:t>
      </w:r>
    </w:p>
    <w:p>
      <w:pPr>
        <w:jc w:val="left"/>
      </w:pPr>
      <w:r>
        <w:t>Nachteil: bis zur Zustellung kann der Schuldner umbuchen.</w:t>
      </w:r>
    </w:p>
    <w:p>
      <w:pPr>
        <w:pStyle w:val="Heading3"/>
      </w:pPr>
      <w:r>
        <w:rPr>
          <w:rFonts w:ascii="Times New Roman" w:hAnsi="Times New Roman"/>
        </w:rPr>
        <w:t>Variante 3 - Europäische Kontenpfändung (EuKtPVO 655/2014)</w:t>
      </w:r>
    </w:p>
    <w:p>
      <w:pPr>
        <w:jc w:val="left"/>
      </w:pPr>
      <w:r>
        <w:t xml:space="preserve">EuKtPVO ist zugeschnitten auf Bankkonten. Bitpanda ist Krypto-Verwahrer, nicht Bank im Sinne des Art. 4 Nr. 2 EuKtPVO (Kreditinstitut nach RL 2013/36/EU). Daher für Krypto-Bestände nicht einschlägig. Für die 22.000 EUR Fiat-Guthaben </w:t>
      </w:r>
      <w:r>
        <w:rPr>
          <w:i/>
        </w:rPr>
        <w:t>könnte</w:t>
      </w:r>
      <w:r>
        <w:t xml:space="preserve"> es greifen, soweit Bitpanda über Partnerbank eine Zahlungsdienstleistung im Sinne der EuKtPVO erbringt - der Streit ist offen. </w:t>
      </w:r>
      <w:r>
        <w:rPr>
          <w:b/>
        </w:rPr>
        <w:t>Pragmatisch: Variante 2 + nationaler Eilantrag</w:t>
      </w:r>
      <w:r>
        <w:t xml:space="preserve"> in Österreich (Sicherheitsverfügung Paragraf 379 oest. EO) als parallelen Sicherungsschritt durch österreichischen Korrespondenzanwalt.</w:t>
      </w:r>
    </w:p>
    <w:p>
      <w:pPr>
        <w:pStyle w:val="Heading2"/>
      </w:pPr>
      <w:r>
        <w:rPr>
          <w:rFonts w:ascii="Times New Roman" w:hAnsi="Times New Roman"/>
        </w:rPr>
        <w:t>Empfohlene Mechanik (Variante 2 plus Begleitmassnahmen)</w:t>
      </w:r>
    </w:p>
    <w:p>
      <w:pPr>
        <w:pStyle w:val="ListNumber"/>
      </w:pPr>
      <w:r>
        <w:t>PfUEB-Antrag AG Krefeld - Drittschuldnerin Bitpanda GmbH, Wien.</w:t>
      </w:r>
    </w:p>
    <w:p>
      <w:pPr>
        <w:pStyle w:val="ListNumber"/>
      </w:pPr>
      <w:r>
        <w:t>Pfaendungsgegenstand: gesamter gegenwärtiger Bestand und künftige Eingänge auf der Kundenbeziehung 5598-77821-MUE (BTC, USDC, EUR Fiat, alle weiteren Vermögenswerte).</w:t>
      </w:r>
    </w:p>
    <w:p>
      <w:pPr>
        <w:pStyle w:val="ListNumber"/>
      </w:pPr>
      <w:r>
        <w:t>Hilfsweise Umrechnung in EUR zum jeweiligen Tageskurs nach Aufforderung der Gläubigerin.</w:t>
      </w:r>
    </w:p>
    <w:p>
      <w:pPr>
        <w:pStyle w:val="ListNumber"/>
      </w:pPr>
      <w:r>
        <w:t>Zustellung nach EU-Zustellungs-VO 2020/1784 über das Vollstreckungsgericht.</w:t>
      </w:r>
    </w:p>
    <w:p>
      <w:pPr>
        <w:pStyle w:val="ListNumber"/>
      </w:pPr>
      <w:r>
        <w:rPr>
          <w:b/>
        </w:rPr>
        <w:t>Begleitend</w:t>
      </w:r>
      <w:r>
        <w:t>: österreichischer Korrespondenzanwalt schickt Vorabinformation an Bitpanda und beantragt Sicherheitsverfügung Paragraf 379 oest. EO (10 Tage).</w:t>
      </w:r>
    </w:p>
    <w:p>
      <w:pPr>
        <w:pStyle w:val="ListNumber"/>
      </w:pPr>
      <w:r>
        <w:t>Erklärung Paragraf 840 ZPO: deutsche Bitpanda-Asset-Management-GmbH soll Auskunft geben - das ist aber freiwillig.</w:t>
      </w:r>
    </w:p>
    <w:p>
      <w:pPr>
        <w:pStyle w:val="Heading2"/>
      </w:pPr>
      <w:r>
        <w:rPr>
          <w:rFonts w:ascii="Times New Roman" w:hAnsi="Times New Roman"/>
        </w:rPr>
        <w:t>Erlös und Risiken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Position</w:t>
            </w:r>
          </w:p>
        </w:tc>
        <w:tc>
          <w:tcPr>
            <w:tcW w:type="dxa" w:w="4536"/>
          </w:tcPr>
          <w:p>
            <w:r>
              <w:rPr>
                <w:rFonts w:ascii="Times New Roman" w:hAnsi="Times New Roman"/>
                <w:b/>
                <w:sz w:val="20"/>
              </w:rPr>
              <w:t>Wert / Risiko</w:t>
            </w:r>
          </w:p>
        </w:tc>
      </w:tr>
      <w:tr>
        <w:tc>
          <w:tcPr>
            <w:tcW w:type="dxa" w:w="4536"/>
          </w:tcPr>
          <w:p>
            <w:r>
              <w:rPr>
                <w:rFonts w:ascii="Times New Roman" w:hAnsi="Times New Roman"/>
                <w:sz w:val="20"/>
              </w:rPr>
              <w:t>Marktwert per 22.4.2026</w:t>
            </w:r>
          </w:p>
        </w:tc>
        <w:tc>
          <w:tcPr>
            <w:tcW w:type="dxa" w:w="4536"/>
          </w:tcPr>
          <w:p>
            <w:r>
              <w:rPr>
                <w:rFonts w:ascii="Times New Roman" w:hAnsi="Times New Roman"/>
                <w:sz w:val="20"/>
              </w:rPr>
              <w:t>rd. 42.000 EUR</w:t>
            </w:r>
          </w:p>
        </w:tc>
      </w:tr>
      <w:tr>
        <w:tc>
          <w:tcPr>
            <w:tcW w:type="dxa" w:w="4536"/>
          </w:tcPr>
          <w:p>
            <w:r>
              <w:rPr>
                <w:rFonts w:ascii="Times New Roman" w:hAnsi="Times New Roman"/>
                <w:sz w:val="20"/>
              </w:rPr>
              <w:t>Volatilitaetsrisiko BTC/USDC</w:t>
            </w:r>
          </w:p>
        </w:tc>
        <w:tc>
          <w:tcPr>
            <w:tcW w:type="dxa" w:w="4536"/>
          </w:tcPr>
          <w:p>
            <w:r>
              <w:rPr>
                <w:rFonts w:ascii="Times New Roman" w:hAnsi="Times New Roman"/>
                <w:sz w:val="20"/>
              </w:rPr>
              <w:t>15-25 Prozent</w:t>
            </w:r>
          </w:p>
        </w:tc>
      </w:tr>
      <w:tr>
        <w:tc>
          <w:tcPr>
            <w:tcW w:type="dxa" w:w="4536"/>
          </w:tcPr>
          <w:p>
            <w:r>
              <w:rPr>
                <w:rFonts w:ascii="Times New Roman" w:hAnsi="Times New Roman"/>
                <w:sz w:val="20"/>
              </w:rPr>
              <w:t>Zeitrisiko Zustellung Wien</w:t>
            </w:r>
          </w:p>
        </w:tc>
        <w:tc>
          <w:tcPr>
            <w:tcW w:type="dxa" w:w="4536"/>
          </w:tcPr>
          <w:p>
            <w:r>
              <w:rPr>
                <w:rFonts w:ascii="Times New Roman" w:hAnsi="Times New Roman"/>
                <w:sz w:val="20"/>
              </w:rPr>
              <w:t>6-12 Wochen, in denen der Schuldner abziehen könnte</w:t>
            </w:r>
          </w:p>
        </w:tc>
      </w:tr>
      <w:tr>
        <w:tc>
          <w:tcPr>
            <w:tcW w:type="dxa" w:w="4536"/>
          </w:tcPr>
          <w:p>
            <w:r>
              <w:rPr>
                <w:rFonts w:ascii="Times New Roman" w:hAnsi="Times New Roman"/>
                <w:sz w:val="20"/>
              </w:rPr>
              <w:t>Geldwaesche-Vermerk</w:t>
            </w:r>
          </w:p>
        </w:tc>
        <w:tc>
          <w:tcPr>
            <w:tcW w:type="dxa" w:w="4536"/>
          </w:tcPr>
          <w:p>
            <w:r>
              <w:rPr>
                <w:rFonts w:ascii="Times New Roman" w:hAnsi="Times New Roman"/>
                <w:sz w:val="20"/>
              </w:rPr>
              <w:t>bei Auszahlung an die Gläubigerin wird Bitpanda KYC/AML-Pruefung wiederholen</w:t>
            </w:r>
          </w:p>
        </w:tc>
      </w:tr>
    </w:tbl>
    <w:p>
      <w:pPr>
        <w:pStyle w:val="Heading2"/>
      </w:pPr>
      <w:r>
        <w:rPr>
          <w:rFonts w:ascii="Times New Roman" w:hAnsi="Times New Roman"/>
        </w:rPr>
        <w:t>Zeitschiene</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Datum</w:t>
            </w:r>
          </w:p>
        </w:tc>
        <w:tc>
          <w:tcPr>
            <w:tcW w:type="dxa" w:w="4536"/>
          </w:tcPr>
          <w:p>
            <w:r>
              <w:rPr>
                <w:rFonts w:ascii="Times New Roman" w:hAnsi="Times New Roman"/>
                <w:b/>
                <w:sz w:val="20"/>
              </w:rPr>
              <w:t>Schritt</w:t>
            </w:r>
          </w:p>
        </w:tc>
      </w:tr>
      <w:tr>
        <w:tc>
          <w:tcPr>
            <w:tcW w:type="dxa" w:w="4536"/>
          </w:tcPr>
          <w:p>
            <w:r>
              <w:rPr>
                <w:rFonts w:ascii="Times New Roman" w:hAnsi="Times New Roman"/>
                <w:sz w:val="20"/>
              </w:rPr>
              <w:t>27.5.2026</w:t>
            </w:r>
          </w:p>
        </w:tc>
        <w:tc>
          <w:tcPr>
            <w:tcW w:type="dxa" w:w="4536"/>
          </w:tcPr>
          <w:p>
            <w:r>
              <w:rPr>
                <w:rFonts w:ascii="Times New Roman" w:hAnsi="Times New Roman"/>
                <w:sz w:val="20"/>
              </w:rPr>
              <w:t>PfUEB-Antrag AG Krefeld + Eilantrag Wien</w:t>
            </w:r>
          </w:p>
        </w:tc>
      </w:tr>
      <w:tr>
        <w:tc>
          <w:tcPr>
            <w:tcW w:type="dxa" w:w="4536"/>
          </w:tcPr>
          <w:p>
            <w:r>
              <w:rPr>
                <w:rFonts w:ascii="Times New Roman" w:hAnsi="Times New Roman"/>
                <w:sz w:val="20"/>
              </w:rPr>
              <w:t>5.6.2026</w:t>
            </w:r>
          </w:p>
        </w:tc>
        <w:tc>
          <w:tcPr>
            <w:tcW w:type="dxa" w:w="4536"/>
          </w:tcPr>
          <w:p>
            <w:r>
              <w:rPr>
                <w:rFonts w:ascii="Times New Roman" w:hAnsi="Times New Roman"/>
                <w:sz w:val="20"/>
              </w:rPr>
              <w:t>EuKtPVO-Pruefung verworfen, Variante 2 final</w:t>
            </w:r>
          </w:p>
        </w:tc>
      </w:tr>
      <w:tr>
        <w:tc>
          <w:tcPr>
            <w:tcW w:type="dxa" w:w="4536"/>
          </w:tcPr>
          <w:p>
            <w:r>
              <w:rPr>
                <w:rFonts w:ascii="Times New Roman" w:hAnsi="Times New Roman"/>
                <w:sz w:val="20"/>
              </w:rPr>
              <w:t>10.7.2026</w:t>
            </w:r>
          </w:p>
        </w:tc>
        <w:tc>
          <w:tcPr>
            <w:tcW w:type="dxa" w:w="4536"/>
          </w:tcPr>
          <w:p>
            <w:r>
              <w:rPr>
                <w:rFonts w:ascii="Times New Roman" w:hAnsi="Times New Roman"/>
                <w:sz w:val="20"/>
              </w:rPr>
              <w:t>Zustellung Bitpanda nach EU-Zustellungs-VO</w:t>
            </w:r>
          </w:p>
        </w:tc>
      </w:tr>
      <w:tr>
        <w:tc>
          <w:tcPr>
            <w:tcW w:type="dxa" w:w="4536"/>
          </w:tcPr>
          <w:p>
            <w:r>
              <w:rPr>
                <w:rFonts w:ascii="Times New Roman" w:hAnsi="Times New Roman"/>
                <w:sz w:val="20"/>
              </w:rPr>
              <w:t>24.7.2026</w:t>
            </w:r>
          </w:p>
        </w:tc>
        <w:tc>
          <w:tcPr>
            <w:tcW w:type="dxa" w:w="4536"/>
          </w:tcPr>
          <w:p>
            <w:r>
              <w:rPr>
                <w:rFonts w:ascii="Times New Roman" w:hAnsi="Times New Roman"/>
                <w:sz w:val="20"/>
              </w:rPr>
              <w:t>Drittschuldnererklaerung</w:t>
            </w:r>
          </w:p>
        </w:tc>
      </w:tr>
      <w:tr>
        <w:tc>
          <w:tcPr>
            <w:tcW w:type="dxa" w:w="4536"/>
          </w:tcPr>
          <w:p>
            <w:r>
              <w:rPr>
                <w:rFonts w:ascii="Times New Roman" w:hAnsi="Times New Roman"/>
                <w:sz w:val="20"/>
              </w:rPr>
              <w:t>31.7.2026</w:t>
            </w:r>
          </w:p>
        </w:tc>
        <w:tc>
          <w:tcPr>
            <w:tcW w:type="dxa" w:w="4536"/>
          </w:tcPr>
          <w:p>
            <w:r>
              <w:rPr>
                <w:rFonts w:ascii="Times New Roman" w:hAnsi="Times New Roman"/>
                <w:sz w:val="20"/>
              </w:rPr>
              <w:t>Auszahlung EUR-Erlös auf Verfahrenskonto</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