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Gegenüberstellung self-hosted vs. custodial Krypto-Wallet</w:t>
      </w:r>
    </w:p>
    <w:p>
      <w:pPr>
        <w:pStyle w:val="Heading2"/>
      </w:pPr>
      <w:r>
        <w:rPr>
          <w:rFonts w:ascii="Times New Roman" w:hAnsi="Times New Roman"/>
        </w:rPr>
        <w:t>Kernunterschied auf einen 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Wallet A self-hosted (Ledger Nano X)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Wallet B custodial (Bitpanda)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Verwahrform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privater Schlüssel beim Schuldner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privater Schlüssel beim Verwahrer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Anspruch gegen Dritten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schuldrechtlich gegen Bitpanda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Vollstreckungsart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Sachpfändung Paragrafen 808 ff.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Forderungspfändung Paragrafen 829, 835 ZPO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Vollstreckungsorgan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Gerichtsvollzieher (mit Durchsuchungsanordnung Paragraf 758a)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Vollstreckungsgericht (PfUEB)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Drittschuldner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Bitpanda GmbH Wien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Mitwirkung des Schuldners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zwingend (PIN, Seed)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Zwangsmittel bei Verweigerung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 802g (VA) plus Paragraf 888 (Mitwirkung)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Geografisches 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 (Gerät in DE)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(Drittschuldnerin in AT)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Zustellungsregime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GV-Termin vor Ort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EU-Zustellungs-VO 2020/1784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Eilrechtsschutz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Durchsuchungsanordnung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oest. Sicherheitsverfügung Paragraf 379 EO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Verwertungsrisiko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Verlustgefahr (Selbstverwertung Wallet)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 (Bitpanda zahlt EUR aus oder verwertet selbst)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Volatilitaetsrisiko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Zeithorizont bis EUR-Erlös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4-6 Wochen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8-14 Wochen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Skills (zwangsvollstreckung)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zv-mobiliar-gv-auftrag, zv-vermoegensauskunft-gv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zv-pfueb-mieter-finanzamt, zv-elektronische-zustellung-2027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Konsequenzen für die Beratung</w:t>
      </w:r>
    </w:p>
    <w:p>
      <w:pPr>
        <w:pStyle w:val="Heading3"/>
      </w:pPr>
      <w:r>
        <w:rPr>
          <w:rFonts w:ascii="Times New Roman" w:hAnsi="Times New Roman"/>
        </w:rPr>
        <w:t>Gläubigerseite</w:t>
      </w:r>
    </w:p>
    <w:p>
      <w:pPr>
        <w:pStyle w:val="ListBullet"/>
      </w:pPr>
      <w:r>
        <w:t xml:space="preserve">Self-hosted-Wallets sind nur greifbar, wenn der Schuldner kooperiert oder das Gerät </w:t>
      </w:r>
      <w:r>
        <w:rPr>
          <w:b/>
        </w:rPr>
        <w:t>vor Ort</w:t>
      </w:r>
      <w:r>
        <w:t xml:space="preserve"> beim Gerichtsvollzieher zugänglich ist. Ohne PIN ist das Gerät wertlos.</w:t>
      </w:r>
    </w:p>
    <w:p>
      <w:pPr>
        <w:pStyle w:val="ListBullet"/>
      </w:pPr>
      <w:r>
        <w:t>Custodial-Wallets sind genauso pfändbar wie ein Bankkonto, aber bei ausländischem Verwahrer ist die Zustellung deutlich aufwendiger.</w:t>
      </w:r>
    </w:p>
    <w:p>
      <w:pPr>
        <w:pStyle w:val="ListBullet"/>
      </w:pPr>
      <w:r>
        <w:t>Bei einer Mischlage Wallet A + Wallet B ist beides parallel zu betreiben, damit der Schuldner nicht in den Zustellungszeitraum hinein abziehen kann.</w:t>
      </w:r>
    </w:p>
    <w:p>
      <w:pPr>
        <w:pStyle w:val="ListBullet"/>
      </w:pPr>
      <w:r>
        <w:t xml:space="preserve">Skill </w:t>
      </w:r>
      <w:r>
        <w:t>zv-elektronische-zustellung-2027</w:t>
      </w:r>
      <w:r>
        <w:t xml:space="preserve"> weist bei deutschen Krypto-Verwahrern (Bitpanda Asset Management GmbH Frankfurt) auf die eBO-Pflicht ab 1.10.2027 hin - die Wiener Mutter ist davon </w:t>
      </w:r>
      <w:r>
        <w:rPr>
          <w:b/>
        </w:rPr>
        <w:t>nicht</w:t>
      </w:r>
      <w:r>
        <w:t xml:space="preserve"> erfasst, dort gilt oest. ERV.</w:t>
      </w:r>
    </w:p>
    <w:p>
      <w:pPr>
        <w:pStyle w:val="Heading3"/>
      </w:pPr>
      <w:r>
        <w:rPr>
          <w:rFonts w:ascii="Times New Roman" w:hAnsi="Times New Roman"/>
        </w:rPr>
        <w:t>Schuldnerseite</w:t>
      </w:r>
    </w:p>
    <w:p>
      <w:pPr>
        <w:pStyle w:val="ListBullet"/>
      </w:pPr>
      <w:r>
        <w:t xml:space="preserve">Verweigerung der PIN ist KEIN Schweigerecht im Vollstreckungsverfahren; sie kann Paragraf 888 ZPO auslösen. Anders, soweit ein </w:t>
      </w:r>
      <w:r>
        <w:rPr>
          <w:b/>
        </w:rPr>
        <w:t>Strafverfahren</w:t>
      </w:r>
      <w:r>
        <w:t xml:space="preserve"> im Hintergrund stehen könnte (Steuerhinterziehung etc.) - dann greift das Selbstbelastungsverbot Art. 6 EMRK.</w:t>
      </w:r>
    </w:p>
    <w:p>
      <w:pPr>
        <w:pStyle w:val="ListBullet"/>
      </w:pPr>
      <w:r>
        <w:t>Bei Bitpanda kann der Schuldner versuchen, vor Zustellung das Guthaben abzuziehen; das kann Anfechtung Paragrafen 129 ff. InsO bei späterer Insolvenz oder Paragrafen 1, 4 AnfG (Gläubigeranfechtung) auslösen. Beratung zwingend.</w:t>
      </w:r>
    </w:p>
    <w:p>
      <w:pPr>
        <w:pStyle w:val="ListBullet"/>
      </w:pPr>
      <w:r>
        <w:t xml:space="preserve">P-Konto-Regeln Paragraf 850k ZPO gelten </w:t>
      </w:r>
      <w:r>
        <w:rPr>
          <w:b/>
        </w:rPr>
        <w:t>nicht</w:t>
      </w:r>
      <w:r>
        <w:t xml:space="preserve"> für Krypto-Konten.</w:t>
      </w:r>
    </w:p>
    <w:p>
      <w:pPr>
        <w:pStyle w:val="Heading3"/>
      </w:pPr>
      <w:r>
        <w:rPr>
          <w:rFonts w:ascii="Times New Roman" w:hAnsi="Times New Roman"/>
        </w:rPr>
        <w:t>Schnittstellen Plugin-Architektur</w:t>
      </w:r>
    </w:p>
    <w:p>
      <w:pPr>
        <w:pStyle w:val="ListBullet"/>
      </w:pPr>
      <w:r>
        <w:t>zwangsvollstreckung/zv-mobiliar-gv-auftrag</w:t>
      </w:r>
      <w:r>
        <w:t xml:space="preserve"> ist Hauptansatz für Wallet A.</w:t>
      </w:r>
    </w:p>
    <w:p>
      <w:pPr>
        <w:pStyle w:val="ListBullet"/>
      </w:pPr>
      <w:r>
        <w:t>zwangsvollstreckung/zv-pfueb-mieter-finanzamt</w:t>
      </w:r>
      <w:r>
        <w:t xml:space="preserve"> ist Hauptansatz für Wallet B.</w:t>
      </w:r>
    </w:p>
    <w:p>
      <w:pPr>
        <w:pStyle w:val="ListBullet"/>
      </w:pPr>
      <w:r>
        <w:t>prozessrecht/elektronischer-rechtsverkehr</w:t>
      </w:r>
      <w:r>
        <w:t xml:space="preserve"> (anderes Plugin) für eBO-Themen.</w:t>
      </w:r>
    </w:p>
    <w:p>
      <w:pPr>
        <w:pStyle w:val="ListBullet"/>
      </w:pPr>
      <w:r>
        <w:t>insolvenzforderungsanmeldungspruefung</w:t>
      </w:r>
      <w:r>
        <w:t xml:space="preserve"> für das Szenario, dass der Schuldner Verbraucherinsolvenz beantragt.</w:t>
      </w:r>
    </w:p>
    <w:p>
      <w:pPr>
        <w:pStyle w:val="Heading2"/>
      </w:pPr>
      <w:r>
        <w:rPr>
          <w:rFonts w:ascii="Times New Roman" w:hAnsi="Times New Roman"/>
        </w:rPr>
        <w:t>Praxisempfehlung Sparkasse Niederrhein</w:t>
      </w:r>
    </w:p>
    <w:p>
      <w:pPr>
        <w:pStyle w:val="ListNumber"/>
      </w:pPr>
      <w:r>
        <w:rPr>
          <w:b/>
        </w:rPr>
        <w:t>Sofort</w:t>
      </w:r>
      <w:r>
        <w:t xml:space="preserve"> Sachpfaendungsantrag für Wallet A einreichen (</w:t>
      </w:r>
      <w:r>
        <w:t>zv-mobiliar-gv-auftrag</w:t>
      </w:r>
      <w:r>
        <w:t>).</w:t>
      </w:r>
    </w:p>
    <w:p>
      <w:pPr>
        <w:pStyle w:val="ListNumber"/>
      </w:pPr>
      <w:r>
        <w:rPr>
          <w:b/>
        </w:rPr>
        <w:t>Sofort</w:t>
      </w:r>
      <w:r>
        <w:t xml:space="preserve"> PfUEB für Wallet B einreichen, Zustellung nach EU-Zustellungs-VO.</w:t>
      </w:r>
    </w:p>
    <w:p>
      <w:pPr>
        <w:pStyle w:val="ListNumber"/>
      </w:pPr>
      <w:r>
        <w:rPr>
          <w:b/>
        </w:rPr>
        <w:t>Parallel</w:t>
      </w:r>
      <w:r>
        <w:t xml:space="preserve"> österreichischen Korrespondenzanwalt mit Eilantrag Paragraf 379 oest. EO beauftragen.</w:t>
      </w:r>
    </w:p>
    <w:p>
      <w:pPr>
        <w:pStyle w:val="ListNumber"/>
      </w:pPr>
      <w:r>
        <w:rPr>
          <w:b/>
        </w:rPr>
        <w:t>Wiedervorlage</w:t>
      </w:r>
      <w:r>
        <w:t xml:space="preserve"> GV-Termin 12.6.2026.</w:t>
      </w:r>
    </w:p>
    <w:p>
      <w:pPr>
        <w:pStyle w:val="ListNumber"/>
      </w:pPr>
      <w:r>
        <w:rPr>
          <w:b/>
        </w:rPr>
        <w:t>Wiedervorlage</w:t>
      </w:r>
      <w:r>
        <w:t xml:space="preserve"> Drittschuldnererklaerung Bitpanda 24.7.2026.</w:t>
      </w:r>
    </w:p>
    <w:p>
      <w:pPr>
        <w:pStyle w:val="ListNumber"/>
      </w:pPr>
      <w:r>
        <w:rPr>
          <w:b/>
        </w:rPr>
        <w:t>Hauptweg</w:t>
      </w:r>
      <w:r>
        <w:t xml:space="preserve"> bleibt dingliche Vollstreckung Beethovenstrasse 12 ab 14.10.2026.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