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Wahlart, Ebenen und Fristen</w:t>
      </w:r>
    </w:p>
    <w:p>
      <w:pPr>
        <w:pStyle w:val="Heading2"/>
      </w:pPr>
      <w:r>
        <w:rPr>
          <w:rFonts w:ascii="Times New Roman" w:hAnsi="Times New Roman"/>
        </w:rPr>
        <w:t>Arbeitshypothese</w:t>
      </w:r>
    </w:p>
    <w:p>
      <w:pPr>
        <w:jc w:val="left"/>
      </w:pPr>
      <w:r>
        <w:t>Landtagswahl im Land Morgenau. Das Landeswahlgesetz und die Landeswahlordnung sind anhand der amtlichen Fassungen zu prüfen. Für allgemeine Kampagnenregeln bleiben Grundgesetz, Parteiengesetz, Datenschutzrecht, Strafrecht, Medienrecht, Straßen- und Sondernutzungsrecht sowie kommunale Plakatierungsregeln relevant.</w:t>
      </w:r>
    </w:p>
    <w:p>
      <w:pPr>
        <w:pStyle w:val="Heading2"/>
      </w:pPr>
      <w:r>
        <w:rPr>
          <w:rFonts w:ascii="Times New Roman" w:hAnsi="Times New Roman"/>
        </w:rPr>
        <w:t>Noch offen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Punkt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Benötigte Quelle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Einreichungsfrist Landesliste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Landeswahlordnung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Justiziariat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Plakatierungsbeginn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Sondernutzungssatzung Stadt Morgenstadt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Kreisgeschäftsstelle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Anzahl Plakate je Partei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Ordnungsamt / Allgemeinverfügung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Kampagnenleitung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Wahlwerbung am Wahltag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Landeswahlrecht / Wahlraumerlass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Wahlteam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Schulveranstaltung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Schulrecht / Ministeriumshinweise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Kandidatenteam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Entscheidungsregel</w:t>
      </w:r>
    </w:p>
    <w:p>
      <w:pPr>
        <w:jc w:val="left"/>
      </w:pPr>
      <w:r>
        <w:t>Keine öffentliche Aussage über Fristen, Wahlräume, Briefwahl oder Gültigkeit von Stimmzetteln ohne amtliche Quelle. Bei Wahlverfahren-Falschinformationen: auf Wahlleitung verweisen, nicht parteipolitisch ausschlachten.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