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Teambriefing Plakate</w:t>
      </w:r>
    </w:p>
    <w:p>
      <w:pPr>
        <w:pStyle w:val="Heading2"/>
      </w:pPr>
      <w:r>
        <w:rPr>
          <w:rFonts w:ascii="Times New Roman" w:hAnsi="Times New Roman"/>
        </w:rPr>
        <w:t>Drei Regeln</w:t>
      </w:r>
    </w:p>
    <w:p>
      <w:pPr>
        <w:pStyle w:val="ListNumber"/>
      </w:pPr>
      <w:r>
        <w:t>Wir hängen nur eigene, freigegebene Plakate an freigegebenen Standorten.</w:t>
      </w:r>
    </w:p>
    <w:p>
      <w:pPr>
        <w:pStyle w:val="ListNumber"/>
      </w:pPr>
      <w:r>
        <w:t>Wir fassen fremde Plakate nicht an - auch nicht, wenn sie schief hängen, falsch erscheinen oder uns provozieren.</w:t>
      </w:r>
    </w:p>
    <w:p>
      <w:pPr>
        <w:pStyle w:val="ListNumber"/>
      </w:pPr>
      <w:r>
        <w:t>Beschädigungen werden fotografiert, gemeldet und dokumentiert, nicht vor Ort eskaliert.</w:t>
      </w:r>
    </w:p>
    <w:p>
      <w:pPr>
        <w:pStyle w:val="Heading2"/>
      </w:pPr>
      <w:r>
        <w:rPr>
          <w:rFonts w:ascii="Times New Roman" w:hAnsi="Times New Roman"/>
        </w:rPr>
        <w:t>Standortlogik</w:t>
      </w:r>
    </w:p>
    <w:p>
      <w:pPr>
        <w:pStyle w:val="ListBullet"/>
      </w:pPr>
      <w:r>
        <w:t>Keine Sichtbehinderung an Kreuzungen.</w:t>
      </w:r>
    </w:p>
    <w:p>
      <w:pPr>
        <w:pStyle w:val="ListBullet"/>
      </w:pPr>
      <w:r>
        <w:t>Keine Befestigung an Verkehrszeichen, Ampeln oder jungen Bäumen, wenn kommunal untersagt.</w:t>
      </w:r>
    </w:p>
    <w:p>
      <w:pPr>
        <w:pStyle w:val="ListBullet"/>
      </w:pPr>
      <w:r>
        <w:t>Abstand zu Wahlräumen und öffentlichen Einrichtungen am Wahltag gesondert prüfen.</w:t>
      </w:r>
    </w:p>
    <w:p>
      <w:pPr>
        <w:pStyle w:val="ListBullet"/>
      </w:pPr>
      <w:r>
        <w:t>Abbaufrist in Kalender eintragen, nicht mündlich merken.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