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Lagebericht Desinformation</w:t>
      </w:r>
    </w:p>
    <w:p>
      <w:pPr>
        <w:pStyle w:val="Heading2"/>
      </w:pPr>
      <w:r>
        <w:rPr>
          <w:rFonts w:ascii="Times New Roman" w:hAnsi="Times New Roman"/>
        </w:rPr>
        <w:t>Narrativ A: angebliche Wahlpflicht</w:t>
      </w:r>
    </w:p>
    <w:p>
      <w:pPr>
        <w:jc w:val="left"/>
      </w:pPr>
      <w:r>
        <w:t>In drei lokalen Gruppen wird behauptet, wer nicht wähle, werde im Melderegister markiert und verliere später Ansprüche. Das ist falsch. Deutschland kennt bei dieser Wahl keine Wahlpflicht. Antwort soll sachlich bleiben und auf amtliche Informationen verweisen.</w:t>
      </w:r>
    </w:p>
    <w:p>
      <w:pPr>
        <w:pStyle w:val="Heading2"/>
      </w:pPr>
      <w:r>
        <w:rPr>
          <w:rFonts w:ascii="Times New Roman" w:hAnsi="Times New Roman"/>
        </w:rPr>
        <w:t>Narrativ B: Briefwahl sei grundsätzlich manipulierbar</w:t>
      </w:r>
    </w:p>
    <w:p>
      <w:pPr>
        <w:jc w:val="left"/>
      </w:pPr>
      <w:r>
        <w:t>Mehrere Posts behaupten, Briefwahlunterlagen könnten massenhaft abgefangen werden. Keine pauschale Gegenerzählung mit Parteiton. Besser: amtliche Sicherungen erklären, Wahlleitung verlinken, keine Unterstellung gegen Wahlhelfende.</w:t>
      </w:r>
    </w:p>
    <w:p>
      <w:pPr>
        <w:pStyle w:val="Heading2"/>
      </w:pPr>
      <w:r>
        <w:rPr>
          <w:rFonts w:ascii="Times New Roman" w:hAnsi="Times New Roman"/>
        </w:rPr>
        <w:t>Narrativ C: Stimmzettel mit abgeschnittener Ecke seien ungültig</w:t>
      </w:r>
    </w:p>
    <w:p>
      <w:pPr>
        <w:jc w:val="left"/>
      </w:pPr>
      <w:r>
        <w:t>Die Behauptung könnte sehbehindertenfeindlich wirken, weil solche Markierungen mit Schablonen zusammenhängen können. Antwort mit Vorsicht und amtlicher Quelle.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