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Datenschutz- und Targeting-Check</w:t>
      </w:r>
    </w:p>
    <w:p>
      <w:pPr>
        <w:pStyle w:val="Heading2"/>
      </w:pPr>
      <w:r>
        <w:rPr>
          <w:rFonts w:ascii="Times New Roman" w:hAnsi="Times New Roman"/>
        </w:rPr>
        <w:t>Vorhaben</w:t>
      </w:r>
    </w:p>
    <w:p>
      <w:pPr>
        <w:jc w:val="left"/>
      </w:pPr>
      <w:r>
        <w:t>Die Agentur möchte Onlineanzeigen nach Alter, Region, Interessen und Interaktion mit bisherigen Kampagnenposts ausspielen. Politische Werbung muss transparent gekennzeichnet werden. Bei Targeting und Ad Delivery sind DSGVO, Plattformregeln und die EU-Regeln zur Transparenz politischer Werbung zu prüfen.</w:t>
      </w:r>
    </w:p>
    <w:p>
      <w:pPr>
        <w:pStyle w:val="Heading2"/>
      </w:pPr>
      <w:r>
        <w:rPr>
          <w:rFonts w:ascii="Times New Roman" w:hAnsi="Times New Roman"/>
        </w:rPr>
        <w:t>Prüfpunkte</w:t>
      </w:r>
    </w:p>
    <w:p>
      <w:pPr>
        <w:pStyle w:val="ListBullet"/>
      </w:pPr>
      <w:r>
        <w:t>Sponsor: Wer bezahlt die Anzeige und wie wird das sichtbar?</w:t>
      </w:r>
    </w:p>
    <w:p>
      <w:pPr>
        <w:pStyle w:val="ListBullet"/>
      </w:pPr>
      <w:r>
        <w:t>Kosten: Werden Kampagnenkosten dokumentiert?</w:t>
      </w:r>
    </w:p>
    <w:p>
      <w:pPr>
        <w:pStyle w:val="ListBullet"/>
      </w:pPr>
      <w:r>
        <w:t>Zielgruppe: Welche Kriterien werden verwendet?</w:t>
      </w:r>
    </w:p>
    <w:p>
      <w:pPr>
        <w:pStyle w:val="ListBullet"/>
      </w:pPr>
      <w:r>
        <w:t>Daten: Parteimitglieder, Interessentenlisten und Spenderdaten dürfen nicht vermischt werden.</w:t>
      </w:r>
    </w:p>
    <w:p>
      <w:pPr>
        <w:pStyle w:val="ListBullet"/>
      </w:pPr>
      <w:r>
        <w:t>Einwilligung: Besonders bei sensiblen politischen Meinungsdaten keine großzügigen Annahmen.</w:t>
      </w:r>
    </w:p>
    <w:p>
      <w:pPr>
        <w:pStyle w:val="ListBullet"/>
      </w:pPr>
      <w:r>
        <w:t>Repositorium: Anzeigen-ID, Laufzeit, Creative, Zielgruppe, Kosten und Freigabe speichern.</w:t>
      </w:r>
    </w:p>
    <w:p>
      <w:pPr>
        <w:pStyle w:val="Heading2"/>
      </w:pPr>
      <w:r>
        <w:rPr>
          <w:rFonts w:ascii="Times New Roman" w:hAnsi="Times New Roman"/>
        </w:rPr>
        <w:t>Vorläufige Ampel</w:t>
      </w:r>
    </w:p>
    <w:p>
      <w:pPr>
        <w:pStyle w:val="ListBullet"/>
      </w:pPr>
      <w:r>
        <w:t>Region + allgemeines Alter: gelb, Plattform- und Transparenzcheck nötig.</w:t>
      </w:r>
    </w:p>
    <w:p>
      <w:pPr>
        <w:pStyle w:val="ListBullet"/>
      </w:pPr>
      <w:r>
        <w:t>Politische Interessenprofile aus Drittquellen: rot bis dunkelrot.</w:t>
      </w:r>
    </w:p>
    <w:p>
      <w:pPr>
        <w:pStyle w:val="ListBullet"/>
      </w:pPr>
      <w:r>
        <w:t>Retargeting von Newsletter-Einwilligungen: nur nach sauberer Zweck- und Einwilligungsprüfung.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