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Nachwahl, Evaluation und Archiv</w:t>
      </w:r>
    </w:p>
    <w:p>
      <w:pPr>
        <w:pStyle w:val="Heading2"/>
      </w:pPr>
      <w:r>
        <w:rPr>
          <w:rFonts w:ascii="Times New Roman" w:hAnsi="Times New Roman"/>
        </w:rPr>
        <w:t>Erste Woche nach der Wahl</w:t>
      </w:r>
    </w:p>
    <w:p>
      <w:pPr>
        <w:pStyle w:val="ListBullet"/>
      </w:pPr>
      <w:r>
        <w:t>Plakate fristgerecht abbauen.</w:t>
      </w:r>
    </w:p>
    <w:p>
      <w:pPr>
        <w:pStyle w:val="ListBullet"/>
      </w:pPr>
      <w:r>
        <w:t>Rechnungen, Sachleistungen und Spendenlog schließen.</w:t>
      </w:r>
    </w:p>
    <w:p>
      <w:pPr>
        <w:pStyle w:val="ListBullet"/>
      </w:pPr>
      <w:r>
        <w:t>Social-Media-Ads archivieren.</w:t>
      </w:r>
    </w:p>
    <w:p>
      <w:pPr>
        <w:pStyle w:val="ListBullet"/>
      </w:pPr>
      <w:r>
        <w:t>Personenbezogene Daten löschen oder Rechtsgrundlage für Fortbestand dokumentieren.</w:t>
      </w:r>
    </w:p>
    <w:p>
      <w:pPr>
        <w:pStyle w:val="ListBullet"/>
      </w:pPr>
      <w:r>
        <w:t>Vorfälle auswerten, aber nicht öffentlich nachtreten.</w:t>
      </w:r>
    </w:p>
    <w:p>
      <w:pPr>
        <w:pStyle w:val="Heading2"/>
      </w:pPr>
      <w:r>
        <w:rPr>
          <w:rFonts w:ascii="Times New Roman" w:hAnsi="Times New Roman"/>
        </w:rPr>
        <w:t>Lessons Learned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Beobachtung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Änderung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Plakate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Standortliste gut, Abbau zu spät geplant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Abbau bereits bei Hängeplan mitbuchen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Social Media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Freigaben waren zu langsam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Gelbe Standardfälle vorfreigeben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Podium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Kandidatin wirkte stark, Clip wurde fair geteilt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 Kontextkamera beibehalten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Desinformation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Antwort kam einmal zu spät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Rumor-Control vor Wahlwoche aktivieren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