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Jahresabrechnung 2025 Rohprüfung</w:t>
      </w:r>
    </w:p>
    <w:p>
      <w:pPr>
        <w:jc w:val="left"/>
      </w:pPr>
      <w:r>
        <w:rPr>
          <w:b/>
        </w:rPr>
        <w:t>Abrechnungszeitraum:</w:t>
      </w:r>
      <w:r>
        <w:t xml:space="preserve"> 01.01.2025 bis 31.12.2025</w:t>
      </w:r>
    </w:p>
    <w:p>
      <w:pPr>
        <w:jc w:val="left"/>
      </w:pPr>
      <w:r>
        <w:rPr>
          <w:b/>
        </w:rPr>
        <w:t>Kontostand 01.01.2025:</w:t>
      </w:r>
      <w:r>
        <w:t xml:space="preserve"> 82.440,12 EUR</w:t>
      </w:r>
    </w:p>
    <w:p>
      <w:pPr>
        <w:jc w:val="left"/>
      </w:pPr>
      <w:r>
        <w:rPr>
          <w:b/>
        </w:rPr>
        <w:t>Kontostand 31.12.2025:</w:t>
      </w:r>
      <w:r>
        <w:t xml:space="preserve"> 51.882,44 EUR</w:t>
      </w:r>
    </w:p>
    <w:p>
      <w:pPr>
        <w:jc w:val="left"/>
      </w:pPr>
      <w:r>
        <w:rPr>
          <w:b/>
        </w:rPr>
        <w:t>Erhaltungsrücklage laut Verwaltung:</w:t>
      </w:r>
      <w:r>
        <w:t xml:space="preserve"> 146.330,00 EUR</w:t>
      </w:r>
    </w:p>
    <w:p>
      <w:pPr>
        <w:pStyle w:val="Heading2"/>
      </w:pPr>
      <w:r>
        <w:rPr>
          <w:rFonts w:ascii="Times New Roman" w:hAnsi="Times New Roman"/>
        </w:rPr>
        <w:t>Auffällige 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Beiratsnotiz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Gebäudeversicherung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18.920,00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Miteigentumsanteile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passt wohl, aber Nachtrag wegen Leitungswasser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Hausmeister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42.600,00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Wohnfläche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 EG links wurde offenbar nicht belastet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Reinigung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19.750,00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Laden EG rechts nutzt Treppenhaus nicht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Gartenpflege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8.440,00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Miteigentumsanteile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enthält Winterdienst?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Verwalterhonorar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24.480,00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Einheiten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umlagefähig gegenüber Mietern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Instandhaltung Dachrinne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6.200,00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war nur Notreparatur, Rechnung liegt vor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Rechtsanwaltskosten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3.950,00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Miteigentumsanteile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 mit Einheit 12, eventuell Einzelbelastung?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Rückfragen</w:t>
      </w:r>
    </w:p>
    <w:p>
      <w:pPr>
        <w:pStyle w:val="ListNumber"/>
      </w:pPr>
      <w:r>
        <w:t>Warum ist die Rücklage in der Einzelabrechnung anders ausgewiesen als im Vermögensbericht?</w:t>
      </w:r>
    </w:p>
    <w:p>
      <w:pPr>
        <w:pStyle w:val="ListNumber"/>
      </w:pPr>
      <w:r>
        <w:t>Wo sind die Belege zur Gebäudeversicherung?</w:t>
      </w:r>
    </w:p>
    <w:p>
      <w:pPr>
        <w:pStyle w:val="ListNumber"/>
      </w:pPr>
      <w:r>
        <w:t>Sind die Hausmeisterkosten mietrechtlich umlagefähig oder teilweise Verwaltung/Instandhaltung?</w:t>
      </w:r>
    </w:p>
    <w:p>
      <w:pPr>
        <w:pStyle w:val="ListNumber"/>
      </w:pPr>
      <w:r>
        <w:t>Welche Beschlussformel braucht § 28 WEG: Nachschüsse/Vorschüsse statt "Genehmigung Jahresabrechnung"?</w:t>
      </w:r>
    </w:p>
    <w:p>
      <w:pPr>
        <w:pStyle w:val="ListNumber"/>
      </w:pPr>
      <w:r>
        <w:t>Sind die Hausgeldrückstände als Forderungen der GdWE ausgewiesen?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