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06 — Beschlussliste alt und neu</w:t>
      </w:r>
    </w:p>
    <w:p>
      <w:pPr>
        <w:pStyle w:val="Heading2"/>
      </w:pPr>
      <w:r>
        <w:rPr>
          <w:rFonts w:ascii="Times New Roman" w:hAnsi="Times New Roman"/>
        </w:rPr>
        <w:t>Alte Beschlüsse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TOP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17.06.2024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Verwaltung soll zwei Angebote für Balkonsanierung einholen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offen, inzwischen drei Angebote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17.06.2024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Dachrinne Innenhof prüfen lassen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Notreparatur erfolgt, Grundproblem 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03.12.2024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Hausordnung wird überarbeitet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Entwurf nie versendet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03.12.2024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Beirat darf Rechnungen stichprobenartig prüfen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läuft unkoordiniert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Neue Beschlussideen</w:t>
      </w:r>
    </w:p>
    <w:p>
      <w:pPr>
        <w:pStyle w:val="ListNumber"/>
      </w:pPr>
      <w:r>
        <w:t>Beschluss über Nachschüsse und Anpassung Vorschüsse aus Jahresabrechnung 2025.</w:t>
      </w:r>
    </w:p>
    <w:p>
      <w:pPr>
        <w:pStyle w:val="ListNumber"/>
      </w:pPr>
      <w:r>
        <w:t>Beschluss Wirtschaftsplan 2026/2027.</w:t>
      </w:r>
    </w:p>
    <w:p>
      <w:pPr>
        <w:pStyle w:val="ListNumber"/>
      </w:pPr>
      <w:r>
        <w:t>Balkonsanierung Südseite mit Kostenrahmen.</w:t>
      </w:r>
    </w:p>
    <w:p>
      <w:pPr>
        <w:pStyle w:val="ListNumber"/>
      </w:pPr>
      <w:r>
        <w:t>Sonderumlage Balkonsanierung.</w:t>
      </w:r>
    </w:p>
    <w:p>
      <w:pPr>
        <w:pStyle w:val="ListNumber"/>
      </w:pPr>
      <w:r>
        <w:t>Dachrinne Innenhof und Wasserschaden Treppenhaus B.</w:t>
      </w:r>
    </w:p>
    <w:p>
      <w:pPr>
        <w:pStyle w:val="ListNumber"/>
      </w:pPr>
      <w:r>
        <w:t>Steckersolargerät Bruckner mit technischen Auflagen.</w:t>
      </w:r>
    </w:p>
    <w:p>
      <w:pPr>
        <w:pStyle w:val="ListNumber"/>
      </w:pPr>
      <w:r>
        <w:t>Wallbox von Hartenfels mit Leitungsführung und Rückbau.</w:t>
      </w:r>
    </w:p>
    <w:p>
      <w:pPr>
        <w:pStyle w:val="ListNumber"/>
      </w:pPr>
      <w:r>
        <w:t>Hausordnung Kartons/Müll/Kinderwagen.</w:t>
      </w:r>
    </w:p>
    <w:p>
      <w:pPr>
        <w:pStyle w:val="ListNumber"/>
      </w:pPr>
      <w:r>
        <w:t>Beirat bekommt Angebotstableau und darf mit Verwalter nachverhandeln.</w:t>
      </w:r>
    </w:p>
    <w:p>
      <w:pPr>
        <w:pStyle w:val="ListNumber"/>
      </w:pPr>
      <w:r>
        <w:t>Verwaltersonderhonorar Baukoordination.</w:t>
      </w:r>
    </w:p>
    <w:p>
      <w:pPr>
        <w:pStyle w:val="Heading2"/>
      </w:pPr>
      <w:r>
        <w:rPr>
          <w:rFonts w:ascii="Times New Roman" w:hAnsi="Times New Roman"/>
        </w:rPr>
        <w:t>Offene Frage</w:t>
      </w:r>
    </w:p>
    <w:p>
      <w:pPr>
        <w:jc w:val="left"/>
      </w:pPr>
      <w:r>
        <w:t>Welche Punkte sind beschlussreif, welche müssen vorher noch in Unterlagen, Angebote, Kostenfolge oder Beschlusskompetenz nachgeschärft werden?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