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Verwaltervertrag — Schluesselklauseln</w:t>
      </w:r>
    </w:p>
    <w:p>
      <w:pPr>
        <w:jc w:val="left"/>
      </w:pPr>
      <w:r>
        <w:t>parteien: WEG Hohenzollernhof / Berlin-Domus Hausverwaltungs-GmbH</w:t>
      </w:r>
    </w:p>
    <w:p>
      <w:pPr>
        <w:jc w:val="left"/>
      </w:pPr>
      <w:r>
        <w:t>laufzeit: 01.01.2024 bis 31.12.2027 (4 Jahre)</w:t>
      </w:r>
    </w:p>
    <w:p>
      <w:pPr>
        <w:jc w:val="left"/>
      </w:pPr>
      <w:r>
        <w:t>beschluss_basis: TOP 7 EV 12.11.2023 / TOP 7 EV 25.10.2024 Verlaengerung</w:t>
      </w:r>
    </w:p>
    <w:p>
      <w:pPr>
        <w:jc w:val="left"/>
      </w:pPr>
      <w:r>
        <w:t>verguetung_brutto: 3.570 EUR/Monat (42.840 EUR/Jahr)</w:t>
      </w:r>
    </w:p>
    <w:p/>
    <w:p>
      <w:pPr>
        <w:pStyle w:val="Heading1"/>
      </w:pPr>
      <w:r>
        <w:rPr>
          <w:rFonts w:ascii="Times New Roman" w:hAnsi="Times New Roman"/>
        </w:rPr>
        <w:t>Verwaltervertrag — Auszüge für Aktenprüfung</w:t>
      </w:r>
    </w:p>
    <w:p>
      <w:pPr>
        <w:pStyle w:val="Heading2"/>
      </w:pPr>
      <w:r>
        <w:rPr>
          <w:rFonts w:ascii="Times New Roman" w:hAnsi="Times New Roman"/>
        </w:rPr>
        <w:t>§ 1 Aufgaben des Verwalters</w:t>
      </w:r>
    </w:p>
    <w:p>
      <w:pPr>
        <w:jc w:val="left"/>
      </w:pPr>
      <w:r>
        <w:t>Berlin-Domus verpflichtet sich, die WEG Hohenzollernhof nach den Bestimmungen des Wohnungseigentumsgesetzes und insbesondere § 27 WEG zu verwalten. Dies umfasst:</w:t>
      </w:r>
    </w:p>
    <w:p>
      <w:pPr>
        <w:pStyle w:val="ListNumber"/>
      </w:pPr>
      <w:r>
        <w:rPr>
          <w:b/>
        </w:rPr>
        <w:t>Vorbereitung und Durchführung der Eigentuemerversammlung</w:t>
      </w:r>
      <w:r>
        <w:t xml:space="preserve"> mit fristgerechter Einladung (3 Wochen, § 24 IV 2 WEG)</w:t>
      </w:r>
    </w:p>
    <w:p>
      <w:pPr>
        <w:pStyle w:val="ListNumber"/>
      </w:pPr>
      <w:r>
        <w:rPr>
          <w:b/>
        </w:rPr>
        <w:t>Beschlusssammlung-Pflege</w:t>
      </w:r>
      <w:r>
        <w:t xml:space="preserve"> (§ 24 VII WEG): Eintragung neuer Beschlüsse am ersten Werktag nach EV</w:t>
      </w:r>
    </w:p>
    <w:p>
      <w:pPr>
        <w:pStyle w:val="ListNumber"/>
      </w:pPr>
      <w:r>
        <w:rPr>
          <w:b/>
        </w:rPr>
        <w:t>Wirtschaftsplan-Erstellung</w:t>
      </w:r>
      <w:r>
        <w:t xml:space="preserve"> jährlich (§ 28 WEG)</w:t>
      </w:r>
    </w:p>
    <w:p>
      <w:pPr>
        <w:pStyle w:val="ListNumber"/>
      </w:pPr>
      <w:r>
        <w:rPr>
          <w:b/>
        </w:rPr>
        <w:t>Jahresabrechnung</w:t>
      </w:r>
      <w:r>
        <w:t xml:space="preserve"> mit Einzelabrechnungen und Gesamtabrechnung</w:t>
      </w:r>
    </w:p>
    <w:p>
      <w:pPr>
        <w:pStyle w:val="ListNumber"/>
      </w:pPr>
      <w:r>
        <w:rPr>
          <w:b/>
        </w:rPr>
        <w:t>Hausgeldforderungs-Verfolgung</w:t>
      </w:r>
      <w:r>
        <w:t xml:space="preserve"> (Mahnungen, Klagen)</w:t>
      </w:r>
    </w:p>
    <w:p>
      <w:pPr>
        <w:pStyle w:val="ListNumber"/>
      </w:pPr>
      <w:r>
        <w:rPr>
          <w:b/>
        </w:rPr>
        <w:t>Vertragliche Beauftragung</w:t>
      </w:r>
      <w:r>
        <w:t xml:space="preserve"> von Handwerkern, Wartungsfirmen, Versicherern</w:t>
      </w:r>
    </w:p>
    <w:p>
      <w:pPr>
        <w:pStyle w:val="ListNumber"/>
      </w:pPr>
      <w:r>
        <w:rPr>
          <w:b/>
        </w:rPr>
        <w:t>Beschluss-Durchführung</w:t>
      </w:r>
      <w:r>
        <w:t xml:space="preserve"> der Eigentümer</w:t>
      </w:r>
    </w:p>
    <w:p>
      <w:pPr>
        <w:pStyle w:val="ListNumber"/>
      </w:pPr>
      <w:r>
        <w:rPr>
          <w:b/>
        </w:rPr>
        <w:t>Berichts-Pflichten</w:t>
      </w:r>
      <w:r>
        <w:t xml:space="preserve"> an den Beirat (vierteljährlich) und Eigentümer (jährlich)</w:t>
      </w:r>
    </w:p>
    <w:p>
      <w:pPr>
        <w:pStyle w:val="Heading2"/>
      </w:pPr>
      <w:r>
        <w:rPr>
          <w:rFonts w:ascii="Times New Roman" w:hAnsi="Times New Roman"/>
        </w:rPr>
        <w:t>§ 2 Vergueting</w:t>
      </w:r>
    </w:p>
    <w:p>
      <w:pPr>
        <w:jc w:val="left"/>
      </w:pPr>
      <w:r>
        <w:t xml:space="preserve">Monatsgrundpauschale: </w:t>
      </w:r>
      <w:r>
        <w:rPr>
          <w:b/>
        </w:rPr>
        <w:t>3.570 EUR brutto</w:t>
      </w:r>
      <w:r>
        <w:t xml:space="preserve"> (= 89,25 EUR pro Einheit / Monat für 40 Einheiten).</w:t>
      </w:r>
    </w:p>
    <w:p>
      <w:pPr>
        <w:jc w:val="left"/>
      </w:pPr>
      <w:r>
        <w:t>Indexierung: jährlich an Verbraucherpreisindex (Stand Vorjahr Q4 / Vorjahres Q4) angepasst.</w:t>
      </w:r>
    </w:p>
    <w:p>
      <w:pPr>
        <w:jc w:val="left"/>
      </w:pPr>
      <w:r>
        <w:rPr>
          <w:b/>
        </w:rPr>
        <w:t>Hinweis:</w:t>
      </w:r>
      <w:r>
        <w:t xml:space="preserve"> Bei Index-Anpassung </w:t>
      </w:r>
      <w:r>
        <w:rPr>
          <w:b/>
        </w:rPr>
        <w:t>vor 31.03. des Folgejahres</w:t>
      </w:r>
      <w:r>
        <w:t xml:space="preserve"> schriftliche Mitteilung an WEG erforderlich.</w:t>
      </w:r>
    </w:p>
    <w:p>
      <w:pPr>
        <w:pStyle w:val="Heading2"/>
      </w:pPr>
      <w:r>
        <w:rPr>
          <w:rFonts w:ascii="Times New Roman" w:hAnsi="Times New Roman"/>
        </w:rPr>
        <w:t>§ 3 Sondervergueting</w:t>
      </w:r>
    </w:p>
    <w:p>
      <w:pPr>
        <w:jc w:val="left"/>
      </w:pPr>
      <w:r>
        <w:t>Über die Grundpauschale hinaus sind folgende Leistungen separat zu vergüten: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Vergueting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Zusätzliche Eigentuemerversammlung (über 1/Jahr hinaus)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850 EUR pro Versammlung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Aussergerichtliche Mahnung Hausgeldrückstand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 EUR pro Mahnung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Mahnbescheids-Erstellung und Klage-Vorbereitung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175 EUR pauschal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Beauftragung Anwaltskanzlei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Stundenaufwand 95 EUR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Buchhaltungs-Sonderprüfung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 EUR pro Stunde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Versicherungs-Schaden-Bearbeitung (pro Schaden)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 EUR pauschal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§ 4 Pflichten des Verwalters — Ausserordentliche Aufgaben</w:t>
      </w:r>
    </w:p>
    <w:p>
      <w:pPr>
        <w:jc w:val="left"/>
      </w:pPr>
      <w:r>
        <w:t xml:space="preserve">§ 4.1 </w:t>
      </w:r>
      <w:r>
        <w:rPr>
          <w:b/>
        </w:rPr>
        <w:t>Schadensmeldungen unverzüglich</w:t>
      </w:r>
      <w:r>
        <w:t xml:space="preserve"> an die Versicherer.</w:t>
      </w:r>
    </w:p>
    <w:p>
      <w:pPr>
        <w:jc w:val="left"/>
      </w:pPr>
      <w:r>
        <w:t xml:space="preserve">§ 4.2 </w:t>
      </w:r>
      <w:r>
        <w:rPr>
          <w:b/>
        </w:rPr>
        <w:t>Mahnung Hausgeldrückstand</w:t>
      </w:r>
      <w:r>
        <w:t>:</w:t>
      </w:r>
    </w:p>
    <w:p>
      <w:pPr>
        <w:pStyle w:val="ListBullet"/>
      </w:pPr>
      <w:r>
        <w:t xml:space="preserve">Erste Mahnung </w:t>
      </w:r>
      <w:r>
        <w:rPr>
          <w:b/>
        </w:rPr>
        <w:t>spätestens 6 Wochen</w:t>
      </w:r>
      <w:r>
        <w:t xml:space="preserve"> nach Fälligkeit</w:t>
      </w:r>
    </w:p>
    <w:p>
      <w:pPr>
        <w:pStyle w:val="ListBullet"/>
      </w:pPr>
      <w:r>
        <w:t xml:space="preserve">Zweite Mahnung </w:t>
      </w:r>
      <w:r>
        <w:rPr>
          <w:b/>
        </w:rPr>
        <w:t>spätestens 4 Wochen nach 1. Mahnung</w:t>
      </w:r>
    </w:p>
    <w:p>
      <w:pPr>
        <w:pStyle w:val="ListBullet"/>
      </w:pPr>
      <w:r>
        <w:t xml:space="preserve">Mahnbescheid bei Ausbleiben </w:t>
      </w:r>
      <w:r>
        <w:rPr>
          <w:b/>
        </w:rPr>
        <w:t>spätestens 8 Wochen nach 2. Mahnung</w:t>
      </w:r>
    </w:p>
    <w:p>
      <w:pPr>
        <w:jc w:val="left"/>
      </w:pPr>
      <w:r>
        <w:rPr>
          <w:b/>
        </w:rPr>
        <w:t>Verstoss gegen § 4.2 begründet Schadenseratzpflicht</w:t>
      </w:r>
      <w:r>
        <w:t xml:space="preserve"> des Verwalters (§ 280 BGB).</w:t>
      </w:r>
    </w:p>
    <w:p>
      <w:pPr>
        <w:pStyle w:val="Heading2"/>
      </w:pPr>
      <w:r>
        <w:rPr>
          <w:rFonts w:ascii="Times New Roman" w:hAnsi="Times New Roman"/>
        </w:rPr>
        <w:t>§ 5 Haftung</w:t>
      </w:r>
    </w:p>
    <w:p>
      <w:pPr>
        <w:jc w:val="left"/>
      </w:pPr>
      <w:r>
        <w:t>Verwalter haftet für Vorsatz und grobe Fahrlässigkeit.</w:t>
      </w:r>
    </w:p>
    <w:p>
      <w:pPr>
        <w:jc w:val="left"/>
      </w:pPr>
      <w:r>
        <w:rPr>
          <w:b/>
        </w:rPr>
        <w:t>Haftungs-Begrenzung:</w:t>
      </w:r>
      <w:r>
        <w:t xml:space="preserve"> maximal 100.000 EUR pro Schadensfall, maximal 1 Mio. EUR pro Jahr.</w:t>
      </w:r>
    </w:p>
    <w:p>
      <w:pPr>
        <w:pStyle w:val="Heading2"/>
      </w:pPr>
      <w:r>
        <w:rPr>
          <w:rFonts w:ascii="Times New Roman" w:hAnsi="Times New Roman"/>
        </w:rPr>
        <w:t>§ 6 Kündigung</w:t>
      </w:r>
    </w:p>
    <w:p>
      <w:pPr>
        <w:jc w:val="left"/>
      </w:pPr>
      <w:r>
        <w:t>Der Vertrag kann von beiden Seiten gekündigt werden:</w:t>
      </w:r>
    </w:p>
    <w:p>
      <w:pPr>
        <w:pStyle w:val="ListBullet"/>
      </w:pPr>
      <w:r>
        <w:rPr>
          <w:b/>
        </w:rPr>
        <w:t>Ordentlich:</w:t>
      </w:r>
      <w:r>
        <w:t xml:space="preserve"> 6 Monate vor Vertragsende (zum 30.06.2027 für Beendigung 31.12.2027)</w:t>
      </w:r>
    </w:p>
    <w:p>
      <w:pPr>
        <w:pStyle w:val="ListBullet"/>
      </w:pPr>
      <w:r>
        <w:rPr>
          <w:b/>
        </w:rPr>
        <w:t>Ausserordentlich</w:t>
      </w:r>
      <w:r>
        <w:t xml:space="preserve"> aus wichtigem Grund (§ 626 BGB analog): wenn Verwalter wiederholt Pflichten verletzt oder Vertrauensverhaeltnis nachhaltig gestört ist.</w:t>
      </w:r>
    </w:p>
    <w:p>
      <w:pPr>
        <w:pStyle w:val="Heading2"/>
      </w:pPr>
      <w:r>
        <w:rPr>
          <w:rFonts w:ascii="Times New Roman" w:hAnsi="Times New Roman"/>
        </w:rPr>
        <w:t>§ 7 Verwalter-Berichts-Pflichten</w:t>
      </w:r>
    </w:p>
    <w:p>
      <w:pPr>
        <w:jc w:val="left"/>
      </w:pPr>
      <w:r>
        <w:t xml:space="preserve">§ 7.1 </w:t>
      </w:r>
      <w:r>
        <w:rPr>
          <w:b/>
        </w:rPr>
        <w:t>Vierteljährlicher Bericht an den Beirat</w:t>
      </w:r>
      <w:r>
        <w:t xml:space="preserve"> mit Stand Hausgeld, Erhaltungsrücklage, offene Vorgänge, Beschluss-Umsetzung. Spätester Termin: 15. des Folgemonats.</w:t>
      </w:r>
    </w:p>
    <w:p>
      <w:pPr>
        <w:jc w:val="left"/>
      </w:pPr>
      <w:r>
        <w:t xml:space="preserve">§ 7.2 </w:t>
      </w:r>
      <w:r>
        <w:rPr>
          <w:b/>
        </w:rPr>
        <w:t>Jahresbericht</w:t>
      </w:r>
      <w:r>
        <w:t xml:space="preserve"> zur EV (Wirtschaftsplan + Jahresabrechnung + Sachstand).</w:t>
      </w:r>
    </w:p>
    <w:p>
      <w:pPr>
        <w:jc w:val="left"/>
      </w:pPr>
      <w:r>
        <w:rPr>
          <w:b/>
        </w:rPr>
        <w:t>Stand 27.05.2026: Beirat hat für Q1 2026 noch keinen vollständigen Bericht erhalten</w:t>
      </w:r>
      <w:r>
        <w:t xml:space="preserve"> — Vertragsverletzung.</w:t>
      </w:r>
    </w:p>
    <w:p>
      <w:pPr>
        <w:pStyle w:val="Heading2"/>
      </w:pPr>
      <w:r>
        <w:rPr>
          <w:rFonts w:ascii="Times New Roman" w:hAnsi="Times New Roman"/>
        </w:rPr>
        <w:t>§ 9 CO2-Kosten-Aufteilung (Nachtrag 2023)</w:t>
      </w:r>
    </w:p>
    <w:p>
      <w:pPr>
        <w:jc w:val="left"/>
      </w:pPr>
      <w:r>
        <w:t>Nachgetragener Pflicht-Punkt seit 01.01.2023:</w:t>
      </w:r>
    </w:p>
    <w:p>
      <w:pPr>
        <w:ind w:left="567"/>
      </w:pPr>
      <w:r>
        <w:rPr>
          <w:i/>
        </w:rPr>
        <w:t>Verwalter ist verpflichtet, die Heizkosten gemäß CO2KostAufG (Stufenmodell § 5-7) korrekt aufzuteilen. Verstoss begründet Schadensersatz-Pflicht gegenüber Mietern und Eigentümern.</w:t>
      </w:r>
    </w:p>
    <w:p>
      <w:pPr>
        <w:jc w:val="left"/>
      </w:pPr>
      <w:r>
        <w:rPr>
          <w:b/>
        </w:rPr>
        <w:t>Stand 27.05.2026: Beirat beanstandet, dass diese Pflicht in den Jahresabrechnungen 2023, 2024, 2025 nicht erfüllt wurde.</w:t>
      </w:r>
    </w:p>
    <w:p>
      <w:pPr>
        <w:pStyle w:val="Heading2"/>
      </w:pPr>
      <w:r>
        <w:rPr>
          <w:rFonts w:ascii="Times New Roman" w:hAnsi="Times New Roman"/>
        </w:rPr>
        <w:t>§ 10 Schlussbestimmungen</w:t>
      </w:r>
    </w:p>
    <w:p>
      <w:pPr>
        <w:jc w:val="left"/>
      </w:pPr>
      <w:r>
        <w:t>Anwendbares Recht: Deutsches Recht. Gerichtsstand: AG Schoeneberg (Wohnungseigentum-Streit, § 43 II Nr. 1 WEG).</w:t>
      </w:r>
    </w:p>
    <w:p>
      <w:pPr>
        <w:pStyle w:val="Heading2"/>
      </w:pPr>
      <w:r>
        <w:rPr>
          <w:rFonts w:ascii="Times New Roman" w:hAnsi="Times New Roman"/>
        </w:rPr>
        <w:t>Konsequenzen für die Akte</w:t>
      </w:r>
    </w:p>
    <w:p>
      <w:pPr>
        <w:pStyle w:val="ListNumber"/>
      </w:pPr>
      <w:r>
        <w:rPr>
          <w:b/>
        </w:rPr>
        <w:t>CO2-Aufteilungs-Versäumnis (§ 9)</w:t>
      </w:r>
      <w:r>
        <w:t>: Haftungsrisiko Verwalter.</w:t>
      </w:r>
    </w:p>
    <w:p>
      <w:pPr>
        <w:pStyle w:val="ListNumber"/>
      </w:pPr>
      <w:r>
        <w:rPr>
          <w:b/>
        </w:rPr>
        <w:t>Vierteljahres-Bericht (§ 7.1)</w:t>
      </w:r>
      <w:r>
        <w:t>: Nicht erfüllt für Q1 2026 — Vertragsverletzung, mahnen.</w:t>
      </w:r>
    </w:p>
    <w:p>
      <w:pPr>
        <w:pStyle w:val="ListNumber"/>
      </w:pPr>
      <w:r>
        <w:rPr>
          <w:b/>
        </w:rPr>
        <w:t>Pasternak-Mahnung (§ 4.2)</w:t>
      </w:r>
      <w:r>
        <w:t>: Erste Mahnung 14.02.2026 ist verspätet (Hausgeld 01.01.2026 fällig, 1. Mahnung hätte spätestens 14.02.2026 — knapp eingehalten); 2. Mahnung 02.05.2026 deutlich über 4-Wochen-Frist — Vertragsverletzung.</w:t>
      </w:r>
    </w:p>
    <w:p>
      <w:pPr>
        <w:pStyle w:val="ListNumber"/>
      </w:pPr>
      <w:r>
        <w:rPr>
          <w:b/>
        </w:rPr>
        <w:t>Mahnbescheid bis 30.06.2026</w:t>
      </w:r>
      <w:r>
        <w:t>: Verwalter muss handeln, sonst Vertragsverletzung.</w:t>
      </w:r>
    </w:p>
    <w:p>
      <w:pPr>
        <w:pStyle w:val="Heading2"/>
      </w:pPr>
      <w:r>
        <w:rPr>
          <w:rFonts w:ascii="Times New Roman" w:hAnsi="Times New Roman"/>
        </w:rPr>
        <w:t>Empfehlung Beirat</w:t>
      </w:r>
    </w:p>
    <w:p>
      <w:pPr>
        <w:jc w:val="left"/>
      </w:pPr>
      <w:r>
        <w:t>Vor EV 17.06.2026:</w:t>
      </w:r>
    </w:p>
    <w:p>
      <w:pPr>
        <w:pStyle w:val="ListBullet"/>
      </w:pPr>
      <w:r>
        <w:t>Vorabmoderation mit Verwalter Tröger zu Mngeln (§ 4.2, § 7.1, § 9 CO2)</w:t>
      </w:r>
    </w:p>
    <w:p>
      <w:pPr>
        <w:pStyle w:val="ListBullet"/>
      </w:pPr>
      <w:r>
        <w:t>Bei Nicht-Besserung: ausserordentliche Kündigung erwägen (§ 6 i.V.m. § 626 BGB)</w:t>
      </w:r>
    </w:p>
    <w:p>
      <w:pPr>
        <w:pStyle w:val="ListBullet"/>
      </w:pPr>
      <w:r>
        <w:rPr>
          <w:b/>
        </w:rPr>
        <w:t>Erwägen:</w:t>
      </w:r>
      <w:r>
        <w:t xml:space="preserve"> § 26 V WEG Abberufungsmoeglichkeit per Beschluss (Mehrheit erforderlich)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