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left"/>
      </w:pPr>
      <w:r>
        <w:t>art: Wirtschaftsplan Entwurf</w:t>
      </w:r>
    </w:p>
    <w:p>
      <w:pPr>
        <w:jc w:val="left"/>
      </w:pPr>
      <w:r>
        <w:t>zeitraum: Wirtschaftsjahr 2026 (01.01.2026 - 31.12.2026)</w:t>
      </w:r>
    </w:p>
    <w:p>
      <w:pPr>
        <w:jc w:val="left"/>
      </w:pPr>
      <w:r>
        <w:t>verfasser: Berlin-Domus Hausverwaltungs-GmbH (Kornfeld)</w:t>
      </w:r>
    </w:p>
    <w:p>
      <w:pPr>
        <w:jc w:val="left"/>
      </w:pPr>
      <w:r>
        <w:t>stand: 28.04.2026</w:t>
      </w:r>
    </w:p>
    <w:p>
      <w:pPr>
        <w:jc w:val="left"/>
      </w:pPr>
      <w:r>
        <w:t>status: Beschlussvorlage TOP 5 EV 17.06.2026</w:t>
      </w:r>
    </w:p>
    <w:p/>
    <w:p>
      <w:pPr>
        <w:pStyle w:val="Heading1"/>
      </w:pPr>
      <w:r>
        <w:rPr>
          <w:rFonts w:ascii="Times New Roman" w:hAnsi="Times New Roman"/>
        </w:rPr>
        <w:t>Wirtschaftsplan 2026 WEG Hohenzollernhof</w:t>
      </w:r>
    </w:p>
    <w:p>
      <w:pPr>
        <w:pStyle w:val="Heading2"/>
      </w:pPr>
      <w:r>
        <w:rPr>
          <w:rFonts w:ascii="Times New Roman" w:hAnsi="Times New Roman"/>
        </w:rPr>
        <w:t>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 (Jahr)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Einnahmen Hausgeld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287.450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Einnahmen Sondernutzungen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18.420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Einnahmen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305.870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Ausgaben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305.870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Bilanz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 (ausgeglichen)</w:t>
            </w:r>
          </w:p>
        </w:tc>
      </w:tr>
    </w:tbl>
    <w:p>
      <w:pPr>
        <w:jc w:val="left"/>
      </w:pPr>
      <w:r>
        <w:t xml:space="preserve">Davon Sonderumlage Balkonsanierung </w:t>
      </w:r>
      <w:r>
        <w:rPr>
          <w:b/>
        </w:rPr>
        <w:t>240.000 EUR</w:t>
      </w:r>
      <w:r>
        <w:t xml:space="preserve"> geht in </w:t>
      </w:r>
      <w:r>
        <w:rPr>
          <w:b/>
        </w:rPr>
        <w:t>separaten Beschluss</w:t>
      </w:r>
      <w:r>
        <w:t xml:space="preserve"> TOP 6 (nicht in den Wirtschaftsplan).</w:t>
      </w:r>
    </w:p>
    <w:p>
      <w:pPr>
        <w:pStyle w:val="Heading2"/>
      </w:pPr>
      <w:r>
        <w:rPr>
          <w:rFonts w:ascii="Times New Roman" w:hAnsi="Times New Roman"/>
        </w:rPr>
        <w:t>Ausgaben-Block</w:t>
      </w:r>
    </w:p>
    <w:p>
      <w:pPr>
        <w:pStyle w:val="Heading3"/>
      </w:pPr>
      <w:r>
        <w:rPr>
          <w:rFonts w:ascii="Times New Roman" w:hAnsi="Times New Roman"/>
        </w:rPr>
        <w:t>Bewirtschaftungskosten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Heizung (Gas, Heizöl Reserve)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52.400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Wasser/Abwasser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38.200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Strom Allgemein (Treppe, Aufzug, Heizung, Tiefgarage)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19.800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Mueltrenung (BSR, Hofmüll, Sperrmüll)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8.940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Reinigung (Treppenhaus, Fenster aussen, Hof)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14.800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Aufzugswartung (Schindler)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4.860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Heizungswartung (BTH Buderus)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3.420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Versicherungen (Gebäude, Haftpflicht, Glas, Stieg)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11.280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Schornsteinfeger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1.120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Hausmeister (Dienst Aurelius)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9.600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Gartenpflege (Hofgarten)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4.080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Schädlingsbekämpfung (Präventiv)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940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Sonstige Bewirtschaftung (Schlüsseldienst, Schliessanlage, Hausordnung)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1.840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Bewirtschaftung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171.280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Verwaltungskosten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Verwaltervergueting Berlin-Domus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42.840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Verwalter-Sonderkosten (Postversand, Drucken, Versammlungs-Saalmiete)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3.600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Wirtschaftsprüfer (jährlich)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 (nicht alle 3 Jahre)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Beirats-Aufwand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1.200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Verwaltung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47.640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Erhaltungsrückstellung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Erhaltungsrücklage zu (Bewohlung 2026 nach BGH-Empfehlung)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56.000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Stand Erhaltungsrücklage 01.01.2026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134.580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Plan-Stand 31.12.2026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190.580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Erhaltungsrücklage in % vom Verkehrswert (geschätzt 18 Mio.)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1,1 %</w:t>
            </w:r>
          </w:p>
        </w:tc>
      </w:tr>
    </w:tbl>
    <w:p>
      <w:pPr>
        <w:jc w:val="left"/>
      </w:pPr>
      <w:r>
        <w:rPr>
          <w:b/>
        </w:rPr>
        <w:t>!!! Anmerkung Beirat (Mertens):</w:t>
      </w:r>
      <w:r>
        <w:t xml:space="preserve"> Empfehlung des BGH (V ZR 28/99 vom 12.10.2000) und BVI ist 1,0-1,5 % des Verkehrswerts. Mit 1,1 % gerade noch akzeptabel; aber bei 240.000 EUR Sonderumlage Balkonsanierung wird Substanz angegriffen — Reserve schmilzt.</w:t>
      </w:r>
    </w:p>
    <w:p>
      <w:pPr>
        <w:pStyle w:val="Heading3"/>
      </w:pPr>
      <w:r>
        <w:rPr>
          <w:rFonts w:ascii="Times New Roman" w:hAnsi="Times New Roman"/>
        </w:rPr>
        <w:t>Ausserordentliche Kosten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Steuerberater (Gemeinschafts-Erklärung GrundSt-MUss)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1.200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Rechtsanwalt (Pasternak-Verfahren erwartet)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2.400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Sonstige Eskalation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Sonderausgaben Heizung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ausserordentlich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8.600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CO2-Anteil (NEU 2026 nach CO2KostAufG)</w:t>
      </w:r>
    </w:p>
    <w:p>
      <w:pPr>
        <w:jc w:val="left"/>
      </w:pPr>
      <w:r>
        <w:t>Eigentümer-Anteil 2026 voraussichtlich (Stufe 5 wie 2025):</w:t>
      </w:r>
    </w:p>
    <w:p>
      <w:pPr>
        <w:pStyle w:val="ListBullet"/>
      </w:pPr>
      <w:r>
        <w:t>Mieter-Anteil: 60 % von 5.060 EUR = 3.036 EUR (zugewiesen den vermietenden Einheiten)</w:t>
      </w:r>
    </w:p>
    <w:p>
      <w:pPr>
        <w:pStyle w:val="ListBullet"/>
      </w:pPr>
      <w:r>
        <w:rPr>
          <w:b/>
        </w:rPr>
        <w:t>Eigentümer-Anteil 40 %</w:t>
      </w:r>
      <w:r>
        <w:t xml:space="preserve"> = </w:t>
      </w:r>
      <w:r>
        <w:rPr>
          <w:b/>
        </w:rPr>
        <w:t>2.024 EUR</w:t>
      </w:r>
      <w:r>
        <w:t xml:space="preserve"> (geht in Hausgeld)</w:t>
      </w:r>
    </w:p>
    <w:p>
      <w:pPr>
        <w:pStyle w:val="ListBullet"/>
      </w:pPr>
      <w:r>
        <w:t>in Wirtschaftsplan als Position "CO2-Aufschlag Eigentümer-Anteil" 2.024 EUR</w:t>
      </w:r>
    </w:p>
    <w:p>
      <w:pPr>
        <w:pStyle w:val="Heading3"/>
      </w:pPr>
      <w:r>
        <w:rPr>
          <w:rFonts w:ascii="Times New Roman" w:hAnsi="Times New Roman"/>
        </w:rPr>
        <w:t>Aussenstellplaetze Sondernutzung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Mieten Aussenstellplaetze (14 × 70 EUR/Monat = 11.760 / Jahr)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11.760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Mieten Hofgarten (Wartung-Beteiligung Praxis Lipinski)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6.660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Sondernutzungs-Beiträge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18.420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Hausgeld-Verteilung 2026</w:t>
      </w:r>
    </w:p>
    <w:p>
      <w:pPr>
        <w:jc w:val="left"/>
      </w:pPr>
      <w:r>
        <w:t>Berechnungsbasis: 287.450 EUR Jahres-Hausgeld, MEA-Quotient nach Teilungserklärung.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MEA / 10.000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Hausgeld 2026 (jährlich)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Hausgeld monatlich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4.484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374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2.501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 xml:space="preserve">208 — </w:t>
            </w:r>
            <w:r>
              <w:rPr>
                <w:rFonts w:ascii="Times New Roman" w:hAnsi="Times New Roman"/>
                <w:b/>
                <w:sz w:val="20"/>
              </w:rPr>
              <w:t>strittig wegen Pasternak-Rückstand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412 (Krause-GbR 4 WE)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11.843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987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5.692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474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4.484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374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4.973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414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4.082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 xml:space="preserve">340 — </w:t>
            </w:r>
            <w:r>
              <w:rPr>
                <w:rFonts w:ascii="Times New Roman" w:hAnsi="Times New Roman"/>
                <w:b/>
                <w:sz w:val="20"/>
              </w:rPr>
              <w:t>Mautz / Rechtsstreit Balkone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5.290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441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4.082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340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612 (Gewerbe)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17.592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1.466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401 (Gewerbe)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11.527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961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...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...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...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...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Summe Wohnen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7.876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226.487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Summe Gewerbe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29.123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Summe Stellplätze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1.111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31.840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287.450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Vorbehalt Sonderumlage</w:t>
      </w:r>
    </w:p>
    <w:p>
      <w:pPr>
        <w:jc w:val="left"/>
      </w:pPr>
      <w:r>
        <w:t xml:space="preserve">Falls die EV 17.06.2026 eine Sonderumlage zur Balkonsanierung beschliesst, wird diese </w:t>
      </w:r>
      <w:r>
        <w:rPr>
          <w:b/>
        </w:rPr>
        <w:t>separat erhoben</w:t>
      </w:r>
      <w:r>
        <w:t xml:space="preserve"> und ist nicht Teil des Wirtschaftsplans. Anhand der Vorlage:</w:t>
      </w:r>
    </w:p>
    <w:p>
      <w:pPr>
        <w:pStyle w:val="ListBullet"/>
      </w:pPr>
      <w:r>
        <w:t>Sonderumlage Variante A: 240.000 EUR / MEA = 24,00 EUR pro MEA (Eigentümer mit 100 MEA zahlt 2.400 EUR)</w:t>
      </w:r>
    </w:p>
    <w:p>
      <w:pPr>
        <w:pStyle w:val="ListBullet"/>
      </w:pPr>
      <w:r>
        <w:t>Sonderumlage Variante B (Empfehlung Beirat): nach Balkonfläche der hofseitigen Eigentümer (12 Einheiten)</w:t>
      </w:r>
    </w:p>
    <w:p>
      <w:pPr>
        <w:jc w:val="left"/>
      </w:pPr>
      <w:r>
        <w:t>Konkrete Verteilung Variante B (Balkonfläche):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Balkonfläche m²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Anteil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Sonderumlage 195.000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14,2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8,3 %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16.185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12,8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7,5 %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14.625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13,5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7,9 %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15.405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11,2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6,5 %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12.675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14,2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8,3 %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16.185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13,8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8,0 %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15.600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12,8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7,5 %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14.625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14,2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8,3 %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16.185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13,5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7,9 %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15.405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16,4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9,6 %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18.720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14,2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8,3 %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16.185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20,2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11,8 %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23.205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171,0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195.000</w:t>
            </w:r>
          </w:p>
        </w:tc>
      </w:tr>
    </w:tbl>
    <w:p>
      <w:pPr>
        <w:jc w:val="left"/>
      </w:pPr>
      <w:r>
        <w:rPr>
          <w:b/>
        </w:rPr>
        <w:t>Anmerkung Beirat:</w:t>
      </w:r>
      <w:r>
        <w:t xml:space="preserve"> Die Berechnung nach Balkonfläche ist sachgerecht; sachlicher Grund nach BGH V ZR 236/23 v. 14.02.2025 vorhanden. Die 12 nicht-hofseitig-Balkonen Eigentümer zahlen nichts.</w:t>
      </w:r>
    </w:p>
    <w:p>
      <w:pPr>
        <w:pStyle w:val="Heading2"/>
      </w:pPr>
      <w:r>
        <w:rPr>
          <w:rFonts w:ascii="Times New Roman" w:hAnsi="Times New Roman"/>
        </w:rPr>
        <w:t>Anlagen</w:t>
      </w:r>
    </w:p>
    <w:p>
      <w:pPr>
        <w:pStyle w:val="ListNumber"/>
      </w:pPr>
      <w:r>
        <w:t>Detaillierte Bewirtschaftungs-Aufstellung 2026 (Excel)</w:t>
      </w:r>
    </w:p>
    <w:p>
      <w:pPr>
        <w:pStyle w:val="ListNumber"/>
      </w:pPr>
      <w:r>
        <w:t>Verteiler-Tabelle alle 40 Einheiten mit MEA und Hausgeld</w:t>
      </w:r>
    </w:p>
    <w:p>
      <w:pPr>
        <w:pStyle w:val="ListNumber"/>
      </w:pPr>
      <w:r>
        <w:t>Sonderumlage Variante A und B Detailrechnung</w:t>
      </w:r>
    </w:p>
    <w:p>
      <w:pPr>
        <w:pStyle w:val="ListNumber"/>
      </w:pPr>
      <w:r>
        <w:t>Erhaltungsrücklage-Entwicklung 2020-2026</w:t>
      </w:r>
    </w:p>
    <w:p>
      <w:pPr>
        <w:pStyle w:val="ListNumber"/>
      </w:pPr>
      <w:r>
        <w:t>Vergleich Wirtschaftsplan 2025 / 2026</w:t>
      </w:r>
    </w:p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 xml:space="preserve">Beirat empfiehlt die Genehmigung des Wirtschaftsplans 2026 in der vorliegenden Form. Sonderumlage wird </w:t>
      </w:r>
      <w:r>
        <w:rPr>
          <w:b/>
        </w:rPr>
        <w:t>getrennt beschlossen</w:t>
      </w:r>
      <w:r>
        <w:t xml:space="preserve"> (TOP 6 und/oder TOP 9 der EV 17.06.2026).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