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Beschlussvorlagen-Sammlung</w:t>
      </w:r>
    </w:p>
    <w:p>
      <w:pPr>
        <w:jc w:val="left"/>
      </w:pPr>
      <w:r>
        <w:t>adressat: Eigentuemerversammlung Hohenzollernhof am 17.06.2026</w:t>
      </w:r>
    </w:p>
    <w:p>
      <w:pPr>
        <w:jc w:val="left"/>
      </w:pPr>
      <w:r>
        <w:t>status: Entwurf der Verwalterin (Berlin-Domus, Kornfeld), Kommentare des Beirats integriert</w:t>
      </w:r>
    </w:p>
    <w:p>
      <w:pPr>
        <w:jc w:val="left"/>
      </w:pPr>
      <w:r>
        <w:t xml:space="preserve">fundstelle_vorbeschluss: EV vom 25.10.2024 (siehe </w:t>
      </w:r>
      <w:r>
        <w:t>16-protokoll-eigentuemerversammlung-vergangene.md</w:t>
      </w:r>
      <w:r>
        <w:t>)</w:t>
      </w:r>
    </w:p>
    <w:p/>
    <w:p>
      <w:pPr>
        <w:pStyle w:val="Heading1"/>
      </w:pPr>
      <w:r>
        <w:rPr>
          <w:rFonts w:ascii="Times New Roman" w:hAnsi="Times New Roman"/>
        </w:rPr>
        <w:t>Beschlussvorlagen — EV Hohenzollernhof 17.06.2026</w:t>
      </w:r>
    </w:p>
    <w:p>
      <w:pPr>
        <w:jc w:val="left"/>
      </w:pPr>
      <w:r>
        <w:t xml:space="preserve">Diese Vorlagen sind Entwurf. Beiratsvorsitzende Dr. Vogel-Schroth hat </w:t>
      </w:r>
      <w:r>
        <w:rPr>
          <w:b/>
        </w:rPr>
        <w:t>Anmerkungen mit !!!</w:t>
      </w:r>
      <w:r>
        <w:t xml:space="preserve"> versehen. Diese müssen vor Versand der Einladung geprüft werden, damit anfechtungssichere Beschlüsse zustande kommen.</w:t>
      </w:r>
    </w:p>
    <w:p>
      <w:pPr>
        <w:pStyle w:val="Heading2"/>
      </w:pPr>
      <w:r>
        <w:rPr>
          <w:rFonts w:ascii="Times New Roman" w:hAnsi="Times New Roman"/>
        </w:rPr>
        <w:t>TOP 4 — Jahresabrechnung 2025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>Die Jahresabrechnung 2025 der Verwalterin Berlin-Domus Hausverwaltungs-GmbH vom 14.04.2026 wird genehmigt. Die Verwalterin und der Verwaltungsbeirat werden für das Wirtschaftsjahr 2025 entlastet.</w:t>
      </w:r>
    </w:p>
    <w:p>
      <w:pPr>
        <w:jc w:val="left"/>
      </w:pPr>
      <w:r>
        <w:rPr>
          <w:b/>
        </w:rPr>
        <w:t>!!! Beirats-Anmerkung Vogel-Schroth:</w:t>
      </w:r>
    </w:p>
    <w:p>
      <w:pPr>
        <w:ind w:left="567"/>
      </w:pPr>
      <w:r>
        <w:rPr>
          <w:i/>
        </w:rPr>
        <w:t xml:space="preserve">Wir lehnen die Entlastung ab, solange die CO2-Aufteilung gemäß CO2KostAufG (Stufenmodell ab 01.01.2023) nicht nachgereicht ist. Der Beirat schlägt vor, </w:t>
      </w:r>
      <w:r>
        <w:rPr>
          <w:b/>
          <w:i/>
        </w:rPr>
        <w:t>die Jahresabrechnung genehmigen, aber die Entlastung getrennt zu beschliessen und ggf. zu verweigern</w:t>
      </w:r>
      <w:r>
        <w:rPr>
          <w:i/>
        </w:rPr>
        <w:t xml:space="preserve"> (Trennung empfohlen, BGH V ZR 244/18 v. 25.10.2019).</w:t>
      </w:r>
    </w:p>
    <w:p>
      <w:pPr>
        <w:jc w:val="left"/>
      </w:pPr>
      <w:r>
        <w:rPr>
          <w:b/>
        </w:rPr>
        <w:t>Strittig:</w:t>
      </w:r>
      <w:r>
        <w:t xml:space="preserve"> Heizkosten 2025 — siehe </w:t>
      </w:r>
      <w:r>
        <w:t>11-co2kostaufg-aufteilungspruefung.md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TOP 5 — Wirtschaftsplan 2026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 xml:space="preserve">Der Wirtschaftsplan 2026 mit einem Gesamtvolumen von 287.450 EUR (Hausgeld) zuzüglich einer Sonderumlage von 240.000 EUR für die Balkonsanierung wird genehmigt. Die Sonderumlage wird in </w:t>
      </w:r>
      <w:r>
        <w:rPr>
          <w:b/>
          <w:i/>
        </w:rPr>
        <w:t>drei Raten</w:t>
      </w:r>
      <w:r>
        <w:rPr>
          <w:i/>
        </w:rPr>
        <w:t xml:space="preserve"> zum 01.08.2026, 01.10.2026 und 01.12.2026 erhoben.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 xml:space="preserve">Sonderumlage in einem Schritt mit dem Wirtschaftsplan beschliessen ist </w:t>
      </w:r>
      <w:r>
        <w:rPr>
          <w:b/>
          <w:i/>
        </w:rPr>
        <w:t>anfechtungsanfaellig</w:t>
      </w:r>
      <w:r>
        <w:rPr>
          <w:i/>
        </w:rPr>
        <w:t xml:space="preserve">, weil Wirtschaftsplan einfache Mehrheit braucht, Sonderumlage aber als eigenständiger Beschluss gefasst werden sollte (BGH V ZR 16/09 v. 21.11.2008 — Stand prüfen). </w:t>
      </w:r>
      <w:r>
        <w:rPr>
          <w:b/>
          <w:i/>
        </w:rPr>
        <w:t>Empfehlung: zwei getrennte TOPs.</w:t>
      </w:r>
    </w:p>
    <w:p>
      <w:pPr>
        <w:pStyle w:val="Heading2"/>
      </w:pPr>
      <w:r>
        <w:rPr>
          <w:rFonts w:ascii="Times New Roman" w:hAnsi="Times New Roman"/>
        </w:rPr>
        <w:t>TOP 6 — Sonderumlage Balkonsanierung 240.000 EUR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 xml:space="preserve">Zur Finanzierung der Balkonsanierung der hofseitigen Fassade (12 Balkone) beschliesst die Gemeinschaft eine </w:t>
      </w:r>
      <w:r>
        <w:rPr>
          <w:b/>
          <w:i/>
        </w:rPr>
        <w:t>Sonderumlage in Höhe von 240.000 EUR</w:t>
      </w:r>
      <w:r>
        <w:rPr>
          <w:i/>
        </w:rPr>
        <w:t>. Verteilung nach Miteigentumsanteilen (MEA). Fälligkeit: drei Raten 01.08.2026 / 01.10.2026 / 01.12.2026.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>Drei Probleme:</w:t>
      </w:r>
    </w:p>
    <w:p>
      <w:pPr>
        <w:ind w:left="567"/>
      </w:pPr>
      <w:r>
        <w:rPr>
          <w:i/>
        </w:rPr>
        <w:t xml:space="preserve">1. Verteilung "nach MEA" ist Standard nach § 16 II 1 WEG, aber: die Balkone gehören </w:t>
      </w:r>
      <w:r>
        <w:rPr>
          <w:b/>
          <w:i/>
        </w:rPr>
        <w:t>nicht zu jeder Einheit</w:t>
      </w:r>
      <w:r>
        <w:rPr>
          <w:i/>
        </w:rPr>
        <w:t xml:space="preserve"> — Eigentümer ohne hofseitigen Balkon zahlen, ohne den Nutzen zu haben. Prüfe abweichende Verteilung nach § 16 II 2 WEG mit Begründung "anteilig nach Balkonfläche".</w:t>
      </w:r>
    </w:p>
    <w:p>
      <w:pPr>
        <w:ind w:left="567"/>
      </w:pPr>
      <w:r>
        <w:rPr>
          <w:i/>
        </w:rPr>
        <w:t xml:space="preserve">2. Höhe 240.000 EUR ist das </w:t>
      </w:r>
      <w:r>
        <w:rPr>
          <w:b/>
          <w:i/>
        </w:rPr>
        <w:t>höchste Angebot</w:t>
      </w:r>
      <w:r>
        <w:rPr>
          <w:i/>
        </w:rPr>
        <w:t xml:space="preserve"> (Mueller Stuck-Fassaden 235.000). Die niedrigeren Angebote (Fassadenwerk Brandenburg 195.000; Tiefbau-Tegel 178.000) wurden nicht vergleichend vorgestellt. </w:t>
      </w:r>
      <w:r>
        <w:rPr>
          <w:b/>
          <w:i/>
        </w:rPr>
        <w:t>Empfehlung:</w:t>
      </w:r>
      <w:r>
        <w:rPr>
          <w:i/>
        </w:rPr>
        <w:t xml:space="preserve"> Volumen auf höchstens 220.000 EUR begrenzen und Auftragsvergabe an Verwalterin delegieren.</w:t>
      </w:r>
    </w:p>
    <w:p>
      <w:pPr>
        <w:ind w:left="567"/>
      </w:pPr>
      <w:r>
        <w:rPr>
          <w:i/>
        </w:rPr>
        <w:t xml:space="preserve">3. Bezahlraten von 80.000 EUR + 80.000 EUR + 80.000 EUR sind für einzelne Eigentümer harte Last. </w:t>
      </w:r>
      <w:r>
        <w:rPr>
          <w:b/>
          <w:i/>
        </w:rPr>
        <w:t>Empfehlung:</w:t>
      </w:r>
      <w:r>
        <w:rPr>
          <w:i/>
        </w:rPr>
        <w:t xml:space="preserve"> vier Raten 60.000 EUR / 60.000 EUR / 60.000 EUR / 60.000 EUR.</w:t>
      </w:r>
    </w:p>
    <w:p>
      <w:pPr>
        <w:jc w:val="left"/>
      </w:pPr>
      <w:r>
        <w:rPr>
          <w:b/>
        </w:rPr>
        <w:t>Diskussion:</w:t>
      </w:r>
      <w:r>
        <w:t xml:space="preserve"> Die Sonderumlage kann nach BGH V ZR 236/23 v. 14.02.2025 nur bei sachlichem Grund per Beschluss </w:t>
      </w:r>
      <w:r>
        <w:rPr>
          <w:b/>
        </w:rPr>
        <w:t>die Verteilung ändern</w:t>
      </w:r>
      <w:r>
        <w:t>. Sachlicher Grund ist die Beschränkung auf hofseitige Eigentümer.</w:t>
      </w:r>
    </w:p>
    <w:p>
      <w:pPr>
        <w:pStyle w:val="Heading2"/>
      </w:pPr>
      <w:r>
        <w:rPr>
          <w:rFonts w:ascii="Times New Roman" w:hAnsi="Times New Roman"/>
        </w:rPr>
        <w:t>TOP 7 — Bauliche Veränderung Wallbox WE 19 Yildiz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 xml:space="preserve">Dem Eigentümer Mustafa Yildiz (WE 19) wird gestattet, auf dem ihm zugeordneten Tiefgaragen-Stellplatz Nr. TG14 eine Wallbox (Hersteller: ABL Modell eMH-1, 11 kW, Förderung) zu installieren. </w:t>
      </w:r>
      <w:r>
        <w:rPr>
          <w:b/>
          <w:i/>
        </w:rPr>
        <w:t>Kosten trägt der Antragsteller</w:t>
      </w:r>
      <w:r>
        <w:rPr>
          <w:i/>
        </w:rPr>
        <w:t>. Die Anbindung erfolgt unterzaehler. Die Wallbox bleibt nach Auszug des Antragstellers in seinem Eigentum. Gemäß § 20 II Nr. 2 WEG.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>Korrekt. Ergänzen: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Bauphysikalische Anbindung</w:t>
      </w:r>
      <w:r>
        <w:rPr>
          <w:i/>
        </w:rPr>
        <w:t>: Stromleitung muss durch separate Verlegung vom Hausverteiler erfolgen; Kosten Trasse beim Antragsteller.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Rückbau-Klausel</w:t>
      </w:r>
      <w:r>
        <w:rPr>
          <w:i/>
        </w:rPr>
        <w:t xml:space="preserve"> bei Auszug oder Veraeusserung (BGH V ZR 11/19 v. 20.09.2019 — verifizieren).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Versicherung</w:t>
      </w:r>
      <w:r>
        <w:rPr>
          <w:i/>
        </w:rPr>
        <w:t>: Antragsteller schliesst eigene Haftpflicht ab, da Wallbox Schadensrisiko enthält.</w:t>
      </w:r>
    </w:p>
    <w:p>
      <w:pPr>
        <w:jc w:val="left"/>
      </w:pPr>
      <w:r>
        <w:rPr>
          <w:b/>
        </w:rPr>
        <w:t>Privilegierter Anspruch:</w:t>
      </w:r>
      <w:r>
        <w:t xml:space="preserve"> § 20 II Nr. 2 WEG gewährt dem Antragsteller </w:t>
      </w:r>
      <w:r>
        <w:rPr>
          <w:b/>
        </w:rPr>
        <w:t>Anspruch</w:t>
      </w:r>
      <w:r>
        <w:t xml:space="preserve"> auf Gestattung; die Gemeinschaft kann nicht ablehnen, sondern nur die Art und Weise der Ausführung beschliessen (BGH V ZR 244/22 v. 09.02.2024).</w:t>
      </w:r>
    </w:p>
    <w:p>
      <w:pPr>
        <w:pStyle w:val="Heading2"/>
      </w:pPr>
      <w:r>
        <w:rPr>
          <w:rFonts w:ascii="Times New Roman" w:hAnsi="Times New Roman"/>
        </w:rPr>
        <w:t>TOP 8 — Bauliche Veränderung Steckersolar (Sammel-TOP für 5 Anträge)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 xml:space="preserve">Den Eigentümern WE 6, 11 (vermietet), 17, 24, 29 wird gestattet, je ein Steckersolargeraet (Balkonkraftwerk, max. 800 W Wechselrichter, technische Norm DIN VDE V 0100-551-1, Anmeldung bei NetzeBW vor Inbetriebnahme) am hofseitigen Balkon zu installieren. Befestigung </w:t>
      </w:r>
      <w:r>
        <w:rPr>
          <w:b/>
          <w:i/>
        </w:rPr>
        <w:t>ohne Eingriff in die Tragkonstruktion</w:t>
      </w:r>
      <w:r>
        <w:rPr>
          <w:i/>
        </w:rPr>
        <w:t>; abnehmbar; Kosten Antragsteller.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>Gut. Aber:</w:t>
      </w:r>
    </w:p>
    <w:p>
      <w:pPr>
        <w:ind w:left="567"/>
      </w:pPr>
      <w:r>
        <w:rPr>
          <w:i/>
        </w:rPr>
        <w:t xml:space="preserve">- Die WEG-Vermietung Krause GbR (WE 7, 11, 17, 22) ist mit-Antragsteller für die vermieteten WE 11 und 22 — beachte: bei vermieteten Einheiten muss der Eigentümer den Antrag stellen, nicht der Mieter. </w:t>
      </w:r>
      <w:r>
        <w:rPr>
          <w:b/>
          <w:i/>
        </w:rPr>
        <w:t>Prüfe Antragsberechtigung.</w:t>
      </w:r>
    </w:p>
    <w:p>
      <w:pPr>
        <w:ind w:left="567"/>
      </w:pPr>
      <w:r>
        <w:rPr>
          <w:i/>
        </w:rPr>
        <w:t xml:space="preserve">- Solarmodul am hofseitigen Balkon kann </w:t>
      </w:r>
      <w:r>
        <w:rPr>
          <w:b/>
          <w:i/>
        </w:rPr>
        <w:t>optische Beeinträchtigung</w:t>
      </w:r>
      <w:r>
        <w:rPr>
          <w:i/>
        </w:rPr>
        <w:t xml:space="preserve"> sein. Gemeinschaftliche Optik im Innenhof historisch wertig; ggf. Beschluss zur </w:t>
      </w:r>
      <w:r>
        <w:rPr>
          <w:b/>
          <w:i/>
        </w:rPr>
        <w:t>einheitlichen Optik</w:t>
      </w:r>
      <w:r>
        <w:rPr>
          <w:i/>
        </w:rPr>
        <w:t xml:space="preserve"> (gleicher Hersteller, gleiche Farbe) parallel.</w:t>
      </w:r>
    </w:p>
    <w:p>
      <w:pPr>
        <w:ind w:left="567"/>
      </w:pPr>
      <w:r>
        <w:rPr>
          <w:i/>
        </w:rPr>
        <w:t xml:space="preserve">- § 20 II Nr. 5 WEG (seit SteG-Reform 01.10.2024): Anspruch auf Gestattung; Beschluss nur über Art und Weise. </w:t>
      </w:r>
      <w:r>
        <w:rPr>
          <w:b/>
          <w:i/>
        </w:rPr>
        <w:t>Live verifizieren Norm-Verortung.</w:t>
      </w:r>
    </w:p>
    <w:p>
      <w:pPr>
        <w:pStyle w:val="Heading2"/>
      </w:pPr>
      <w:r>
        <w:rPr>
          <w:rFonts w:ascii="Times New Roman" w:hAnsi="Times New Roman"/>
        </w:rPr>
        <w:t>TOP 9 — Verteilungs-Änderung Balkonsanierung nach Balkonfläche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 xml:space="preserve">In Abweichung von § 22 TE und § 16 II 1 WEG wird beschlossen, dass die Kosten der Balkonsanierung Hofseite (TOP 6) </w:t>
      </w:r>
      <w:r>
        <w:rPr>
          <w:b/>
          <w:i/>
        </w:rPr>
        <w:t>anteilig nach Balkonfläche</w:t>
      </w:r>
      <w:r>
        <w:rPr>
          <w:i/>
        </w:rPr>
        <w:t xml:space="preserve"> der hofseitigen Balkone der WE 1, 5, 9, 13, 17, 21, 25, 29, 33, 36, 37, 38 verteilt werden. Die Flächen-Verteilung folgt Anlage 1 (Berechnung Architekturbüro Lechner).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>Sachlicher Grund vorhanden, BGH V ZR 236/23 v. 14.02.2025 stützt das. Aber:</w:t>
      </w:r>
    </w:p>
    <w:p>
      <w:pPr>
        <w:ind w:left="567"/>
      </w:pPr>
      <w:r>
        <w:rPr>
          <w:i/>
        </w:rPr>
        <w:t xml:space="preserve">- </w:t>
      </w:r>
      <w:r>
        <w:rPr>
          <w:b/>
          <w:i/>
        </w:rPr>
        <w:t>Doppelbeschluss-Falle</w:t>
      </w:r>
      <w:r>
        <w:rPr>
          <w:i/>
        </w:rPr>
        <w:t xml:space="preserve">: Verteilung-Änderung und Sonderumlage müssen logisch kompatibel sein. Wenn TOP 6 Verteilung nach MEA und TOP 9 nach Balkonfläche — Konflikt. </w:t>
      </w:r>
      <w:r>
        <w:rPr>
          <w:b/>
          <w:i/>
        </w:rPr>
        <w:t>Empfehlung: TOP 6 streichen, nur TOP 9 beschliessen und Sonderumlage-Höhe danach.</w:t>
      </w:r>
    </w:p>
    <w:p>
      <w:pPr>
        <w:pStyle w:val="Heading2"/>
      </w:pPr>
      <w:r>
        <w:rPr>
          <w:rFonts w:ascii="Times New Roman" w:hAnsi="Times New Roman"/>
        </w:rPr>
        <w:t>TOP 10 — Wartungsvertrag Heizung Buderus-Vertragsfirma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>Der Wartungsvertrag der Heizungsanlage mit BTH Buderus-Tochter Berlin GmbH vom 14.03.2024 wird gekündigt. Die Verwaltung wird beauftragt, drei neue Angebote einzuholen und beim nächsten Anlass dem Beirat zu berichten.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 xml:space="preserve">OK. Aber: GEG 2024 § 71 fordert ab 01.01.2024 (in Berlin ab 30.06.2026 nach kommunaler Wärmeplanung) </w:t>
      </w:r>
      <w:r>
        <w:rPr>
          <w:b/>
          <w:i/>
        </w:rPr>
        <w:t>65 %-Anteil erneuerbarer Energien bei Heizungs-Tausch</w:t>
      </w:r>
      <w:r>
        <w:rPr>
          <w:i/>
        </w:rPr>
        <w:t xml:space="preserve">. Bei Wartungsvertrag noch nicht relevant, aber bei späterem Tausch zwingend. </w:t>
      </w:r>
      <w:r>
        <w:rPr>
          <w:b/>
          <w:i/>
        </w:rPr>
        <w:t>Hinweis im Protokoll für künftige Generationen-Änderung.</w:t>
      </w:r>
    </w:p>
    <w:p>
      <w:pPr>
        <w:pStyle w:val="Heading2"/>
      </w:pPr>
      <w:r>
        <w:rPr>
          <w:rFonts w:ascii="Times New Roman" w:hAnsi="Times New Roman"/>
        </w:rPr>
        <w:t>TOP 11 — Hausgeldrückstand Pasternak WE 3 — Rechtsverfolgung beauftragen</w:t>
      </w:r>
    </w:p>
    <w:p>
      <w:pPr>
        <w:jc w:val="left"/>
      </w:pPr>
      <w:r>
        <w:rPr>
          <w:b/>
        </w:rPr>
        <w:t>Beschlussvorlage:</w:t>
      </w:r>
    </w:p>
    <w:p>
      <w:pPr>
        <w:ind w:left="567"/>
      </w:pPr>
      <w:r>
        <w:rPr>
          <w:i/>
        </w:rPr>
        <w:t>Die Verwaltung wird beauftragt, gegen die Eigentümer Familie Pasternak (WE 3) wegen Hausgeldrückstand i.H.v. derzeit 3.420 EUR Mahnbescheid zu erwirken und ggf. Klage zu erheben. Kostenvorschuss-Genehmigung Klage bis 1.500 EUR.</w:t>
      </w:r>
    </w:p>
    <w:p>
      <w:pPr>
        <w:jc w:val="left"/>
      </w:pPr>
      <w:r>
        <w:rPr>
          <w:b/>
        </w:rPr>
        <w:t>!!! Beirats-Anmerkung:</w:t>
      </w:r>
    </w:p>
    <w:p>
      <w:pPr>
        <w:ind w:left="567"/>
      </w:pPr>
      <w:r>
        <w:rPr>
          <w:i/>
        </w:rPr>
        <w:t>Wichtig: Beschluss-Fähigkeit prüfen. Verwaltung allein kann Hausgeld einklagen (§ 9b WEG i.V.m. § 27 WEG), Eigentuemerbeschluss-Genehmigung ist aber blickbar gewohnter Standard.</w:t>
      </w:r>
    </w:p>
    <w:p>
      <w:pPr>
        <w:pStyle w:val="Heading2"/>
      </w:pPr>
      <w:r>
        <w:rPr>
          <w:rFonts w:ascii="Times New Roman" w:hAnsi="Times New Roman"/>
        </w:rPr>
        <w:t>Anfechtungs-Risiko-Bewertung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TOP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Anfechtungs-Risiko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Jahresabrechnung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CO2-Aufteilung-Mangel — könnte Anfechtung tragen (Mit-Erfolg möglich)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Wirtschaftsplan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Sonderumlage 240.000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Verteilungs-Mangel, Höhe über niedrigsten Angebot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Wallbox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Privilegierte Veränderung; nur Ausführungsart ggf. anfechtbar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Steckersolar (5 Anträge)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niedrig-mittel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Antragsberechtigung WEG-Vermietung Krause unklar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 Verteilungs-Änderung Balkonfläche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Sachlicher Grund vorhanden, BGH-konform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Wartungsvertrag-Kündigung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 Hausgeldverfolgung Pasternak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sehr 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Empfehlung Beirat Schluss-Statement</w:t>
      </w:r>
    </w:p>
    <w:p>
      <w:pPr>
        <w:ind w:left="567"/>
      </w:pPr>
      <w:r>
        <w:rPr>
          <w:i/>
        </w:rPr>
        <w:t xml:space="preserve">Die Verwaltung sollte vor Versand der Einladung (Frist § 24 IV 2 WEG: drei Wochen vor 17.06.2026 = </w:t>
      </w:r>
      <w:r>
        <w:rPr>
          <w:b/>
          <w:i/>
        </w:rPr>
        <w:t>spätestens 27.05.2026</w:t>
      </w:r>
      <w:r>
        <w:rPr>
          <w:i/>
        </w:rPr>
        <w:t xml:space="preserve"> Versand!) die Vorlagen nochmals durchgehen. Insbesondere TOP 6 und TOP 9 logisch in einem TOP zusammenführen. TOP 4 Entlastung getrennt von Genehmigung beschliessen.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