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Anfechtungs-Risiko-Matrix</w:t>
      </w:r>
    </w:p>
    <w:p>
      <w:pPr>
        <w:jc w:val="left"/>
      </w:pPr>
      <w:r>
        <w:t>basis: § 44, § 45 WEG, BGH V. Zivilsenat Linien 2024/2025</w:t>
      </w:r>
    </w:p>
    <w:p>
      <w:pPr>
        <w:jc w:val="left"/>
      </w:pPr>
      <w:r>
        <w:t>stichtag: 27.05.2026 (vor EV 17.06.2026)</w:t>
      </w:r>
    </w:p>
    <w:p>
      <w:pPr>
        <w:jc w:val="left"/>
      </w:pPr>
      <w:r>
        <w:t>verfasser: Beirat Florentine Quast-Riedel (Volljuristin)</w:t>
      </w:r>
    </w:p>
    <w:p>
      <w:pPr>
        <w:jc w:val="left"/>
      </w:pPr>
      <w:r>
        <w:t>status: interne Bewertung zur Vorbereitung der Versammlung</w:t>
      </w:r>
    </w:p>
    <w:p/>
    <w:p>
      <w:pPr>
        <w:pStyle w:val="Heading1"/>
      </w:pPr>
      <w:r>
        <w:rPr>
          <w:rFonts w:ascii="Times New Roman" w:hAnsi="Times New Roman"/>
        </w:rPr>
        <w:t>Anfechtungs-Risiko-Matrix EV Hohenzollernhof 17.06.2026</w:t>
      </w:r>
    </w:p>
    <w:p>
      <w:pPr>
        <w:pStyle w:val="Heading2"/>
      </w:pPr>
      <w:r>
        <w:rPr>
          <w:rFonts w:ascii="Times New Roman" w:hAnsi="Times New Roman"/>
        </w:rPr>
        <w:t>Methodik</w:t>
      </w:r>
    </w:p>
    <w:p>
      <w:pPr>
        <w:jc w:val="left"/>
      </w:pPr>
      <w:r>
        <w:t>Pro Beschluss-TOP wird das Anfechtungsrisiko in drei Stufen bewertet:</w:t>
      </w:r>
    </w:p>
    <w:p>
      <w:pPr>
        <w:pStyle w:val="ListBullet"/>
      </w:pPr>
      <w:r>
        <w:t xml:space="preserve">🟢 </w:t>
      </w:r>
      <w:r>
        <w:rPr>
          <w:b/>
        </w:rPr>
        <w:t>niedrig</w:t>
      </w:r>
      <w:r>
        <w:t xml:space="preserve"> — formal und materiell sicher; nur grundlose Klage möglich</w:t>
      </w:r>
    </w:p>
    <w:p>
      <w:pPr>
        <w:pStyle w:val="ListBullet"/>
      </w:pPr>
      <w:r>
        <w:t xml:space="preserve">🟡 </w:t>
      </w:r>
      <w:r>
        <w:rPr>
          <w:b/>
        </w:rPr>
        <w:t>mittel</w:t>
      </w:r>
      <w:r>
        <w:t xml:space="preserve"> — formale Schwäche oder Auslegungsspielraum</w:t>
      </w:r>
    </w:p>
    <w:p>
      <w:pPr>
        <w:pStyle w:val="ListBullet"/>
      </w:pPr>
      <w:r>
        <w:t xml:space="preserve">🔴 </w:t>
      </w:r>
      <w:r>
        <w:rPr>
          <w:b/>
        </w:rPr>
        <w:t>hoch</w:t>
      </w:r>
      <w:r>
        <w:t xml:space="preserve"> — substantieller Mangel; Anfechtung wahrscheinlich erfolgreich</w:t>
      </w:r>
    </w:p>
    <w:p>
      <w:pPr>
        <w:pStyle w:val="Heading2"/>
      </w:pPr>
      <w:r>
        <w:rPr>
          <w:rFonts w:ascii="Times New Roman" w:hAnsi="Times New Roman"/>
        </w:rPr>
        <w:t>Anfechtungsfrist</w:t>
      </w:r>
    </w:p>
    <w:p>
      <w:pPr>
        <w:jc w:val="left"/>
      </w:pPr>
      <w:r>
        <w:rPr>
          <w:b/>
        </w:rPr>
        <w:t>§ 45 I WEG (n.F. seit 01.12.2020):</w:t>
      </w:r>
    </w:p>
    <w:p>
      <w:pPr>
        <w:pStyle w:val="ListBullet"/>
      </w:pPr>
      <w:r>
        <w:rPr>
          <w:b/>
        </w:rPr>
        <w:t>1 Monat</w:t>
      </w:r>
      <w:r>
        <w:t xml:space="preserve"> ab Beschlussfassung: Klage erheben (Einreichung; "Klageeinleitung")</w:t>
      </w:r>
    </w:p>
    <w:p>
      <w:pPr>
        <w:pStyle w:val="ListBullet"/>
      </w:pPr>
      <w:r>
        <w:rPr>
          <w:b/>
        </w:rPr>
        <w:t>2 Monate</w:t>
      </w:r>
      <w:r>
        <w:t xml:space="preserve"> ab Beschlussfassung: Klage begründen</w:t>
      </w:r>
    </w:p>
    <w:p>
      <w:pPr>
        <w:pStyle w:val="ListBullet"/>
      </w:pPr>
      <w:r>
        <w:t xml:space="preserve">Adressat: </w:t>
      </w:r>
      <w:r>
        <w:rPr>
          <w:b/>
        </w:rPr>
        <w:t>Amtsgericht</w:t>
      </w:r>
      <w:r>
        <w:t xml:space="preserve"> am Ort des Grundstücks (Berlin: AG Schoeneberg, § 43 II Nr. 4 WEG)</w:t>
      </w:r>
    </w:p>
    <w:p>
      <w:pPr>
        <w:pStyle w:val="ListBullet"/>
      </w:pPr>
      <w:r>
        <w:t xml:space="preserve">Klagegegner: </w:t>
      </w:r>
      <w:r>
        <w:rPr>
          <w:b/>
        </w:rPr>
        <w:t>Gemeinschaft</w:t>
      </w:r>
      <w:r>
        <w:t xml:space="preserve"> (§ 9b WEG n.F.)</w:t>
      </w:r>
    </w:p>
    <w:p>
      <w:pPr>
        <w:pStyle w:val="ListBullet"/>
      </w:pPr>
      <w:r>
        <w:t xml:space="preserve">Anwaltszwang: bei Streitwert &gt; 5.000 EUR (jetzt 10.000 EUR Stand 2026!) — Hausgeldsachen sind Standard-AG-Sache (§ 23 Nr. 2c GVG: Wohnungseigentums-Streitigkeiten </w:t>
      </w:r>
      <w:r>
        <w:rPr>
          <w:b/>
        </w:rPr>
        <w:t>immer</w:t>
      </w:r>
      <w:r>
        <w:t xml:space="preserve"> AG, unabhängig vom Streitwert).</w:t>
      </w:r>
    </w:p>
    <w:p>
      <w:pPr>
        <w:pStyle w:val="Heading2"/>
      </w:pPr>
      <w:r>
        <w:rPr>
          <w:rFonts w:ascii="Times New Roman" w:hAnsi="Times New Roman"/>
        </w:rPr>
        <w:t>Pro-TOP-Bewertung</w:t>
      </w:r>
    </w:p>
    <w:p>
      <w:pPr>
        <w:pStyle w:val="Heading3"/>
      </w:pPr>
      <w:r>
        <w:rPr>
          <w:rFonts w:ascii="Times New Roman" w:hAnsi="Times New Roman"/>
        </w:rPr>
        <w:t>TOP 4 — Jahresabrechnung 2025 Genehmigung</w:t>
      </w:r>
    </w:p>
    <w:p>
      <w:pPr>
        <w:jc w:val="left"/>
      </w:pPr>
      <w:r>
        <w:rPr>
          <w:b/>
        </w:rPr>
        <w:t>Risiko: 🟡 mittel</w:t>
      </w:r>
    </w:p>
    <w:p>
      <w:pPr>
        <w:jc w:val="left"/>
      </w:pPr>
      <w:r>
        <w:t>Gründe:</w:t>
      </w:r>
    </w:p>
    <w:p>
      <w:pPr>
        <w:pStyle w:val="ListBullet"/>
      </w:pPr>
      <w:r>
        <w:rPr>
          <w:b/>
        </w:rPr>
        <w:t>CO2-Aufteilung fehlt</w:t>
      </w:r>
      <w:r>
        <w:t xml:space="preserve"> (siehe </w:t>
      </w:r>
      <w:r>
        <w:t>11-co2kostaufg-aufteilungspruefung.md</w:t>
      </w:r>
      <w:r>
        <w:t>). Bei Beanstandung durch Eigentümer kann Beschluss angefochten werden.</w:t>
      </w:r>
    </w:p>
    <w:p>
      <w:pPr>
        <w:pStyle w:val="ListBullet"/>
      </w:pPr>
      <w:r>
        <w:t xml:space="preserve">BGH V ZR 244/18 v. 25.10.2019: Beschluss über Jahresabrechnung erfasst nur die </w:t>
      </w:r>
      <w:r>
        <w:rPr>
          <w:b/>
        </w:rPr>
        <w:t>Abrechnungs-Spitze</w:t>
      </w:r>
      <w:r>
        <w:t xml:space="preserve"> (Einzelabrechnungen), nicht die Gesamtabrechnung (Verwalter-Bericht).</w:t>
      </w:r>
    </w:p>
    <w:p>
      <w:pPr>
        <w:jc w:val="left"/>
      </w:pPr>
      <w:r>
        <w:t xml:space="preserve">Mitigations-Vorschlag: CO2-Aufteilung </w:t>
      </w:r>
      <w:r>
        <w:rPr>
          <w:b/>
        </w:rPr>
        <w:t>vor</w:t>
      </w:r>
      <w:r>
        <w:t xml:space="preserve"> EV korrigieren; sonst Genehmigung </w:t>
      </w:r>
      <w:r>
        <w:rPr>
          <w:b/>
        </w:rPr>
        <w:t>getrennt von Entlastung</w:t>
      </w:r>
      <w:r>
        <w:t xml:space="preserve"> beschliessen.</w:t>
      </w:r>
    </w:p>
    <w:p>
      <w:pPr>
        <w:pStyle w:val="Heading3"/>
      </w:pPr>
      <w:r>
        <w:rPr>
          <w:rFonts w:ascii="Times New Roman" w:hAnsi="Times New Roman"/>
        </w:rPr>
        <w:t>TOP 5 — Wirtschaftsplan 2026 Genehmigung</w:t>
      </w:r>
    </w:p>
    <w:p>
      <w:pPr>
        <w:jc w:val="left"/>
      </w:pPr>
      <w:r>
        <w:rPr>
          <w:b/>
        </w:rPr>
        <w:t>Risiko: 🟢 niedrig</w:t>
      </w:r>
    </w:p>
    <w:p>
      <w:pPr>
        <w:jc w:val="left"/>
      </w:pPr>
      <w:r>
        <w:t>Standardbeschluss. Voraussetzung: Plan ist plausibel.</w:t>
      </w:r>
    </w:p>
    <w:p>
      <w:pPr>
        <w:pStyle w:val="Heading3"/>
      </w:pPr>
      <w:r>
        <w:rPr>
          <w:rFonts w:ascii="Times New Roman" w:hAnsi="Times New Roman"/>
        </w:rPr>
        <w:t>TOP 6 — Sonderumlage 240.000 EUR Balkonsanierung</w:t>
      </w:r>
    </w:p>
    <w:p>
      <w:pPr>
        <w:jc w:val="left"/>
      </w:pPr>
      <w:r>
        <w:rPr>
          <w:b/>
        </w:rPr>
        <w:t>Risiko: 🔴 hoch</w:t>
      </w:r>
    </w:p>
    <w:p>
      <w:pPr>
        <w:jc w:val="left"/>
      </w:pPr>
      <w:r>
        <w:t>Gründe:</w:t>
      </w:r>
    </w:p>
    <w:p>
      <w:pPr>
        <w:pStyle w:val="ListNumber"/>
      </w:pPr>
      <w:r>
        <w:rPr>
          <w:b/>
        </w:rPr>
        <w:t>Höhe über niedrigsten Angebot:</w:t>
      </w:r>
      <w:r>
        <w:t xml:space="preserve"> 240.000 EUR (Mueller) statt 178.000 EUR (Tiefbau-Tegel). BGH V ZR 175/18 v. 18.12.2018 — verifizieren — fordert: WEG muss bei Sonderumlagen auf Wirtschaftlichkeit der Massnahme achten. Wenn drei vergleichbare Angebote vorliegen, ist die </w:t>
      </w:r>
      <w:r>
        <w:rPr>
          <w:b/>
        </w:rPr>
        <w:t>freihändige Vergabe an das höchste</w:t>
      </w:r>
      <w:r>
        <w:t xml:space="preserve"> ohne Begründung anfechtbar.</w:t>
      </w:r>
    </w:p>
    <w:p>
      <w:pPr>
        <w:pStyle w:val="ListNumber"/>
      </w:pPr>
      <w:r>
        <w:rPr>
          <w:b/>
        </w:rPr>
        <w:t>Verteilung MEA für hofseitige Balkone</w:t>
      </w:r>
      <w:r>
        <w:t>: Eigentümer ohne hofseitige Balkone zahlen, ohne Nutzen zu haben. Prüfe abweichende Verteilung gemäß § 16 II 2 WEG (TOP 9 dafür).</w:t>
      </w:r>
    </w:p>
    <w:p>
      <w:pPr>
        <w:pStyle w:val="ListNumber"/>
      </w:pPr>
      <w:r>
        <w:rPr>
          <w:b/>
        </w:rPr>
        <w:t>Form</w:t>
      </w:r>
      <w:r>
        <w:t xml:space="preserve">: Sonderumlage muss </w:t>
      </w:r>
      <w:r>
        <w:rPr>
          <w:b/>
        </w:rPr>
        <w:t>eigenständiger Beschluss</w:t>
      </w:r>
      <w:r>
        <w:t xml:space="preserve"> sein, nicht Teil des Wirtschaftsplans (BGH V ZR 16/09 v. 21.11.2008 — verifizieren).</w:t>
      </w:r>
    </w:p>
    <w:p>
      <w:pPr>
        <w:jc w:val="left"/>
      </w:pPr>
      <w:r>
        <w:t>Mitigations-Vorschlag:</w:t>
      </w:r>
    </w:p>
    <w:p>
      <w:pPr>
        <w:pStyle w:val="ListBullet"/>
      </w:pPr>
      <w:r>
        <w:t xml:space="preserve">Sonderumlage </w:t>
      </w:r>
      <w:r>
        <w:rPr>
          <w:b/>
        </w:rPr>
        <w:t>auf 195.000 EUR begrenzen</w:t>
      </w:r>
      <w:r>
        <w:t xml:space="preserve"> (mittleres Angebot Brandenburg) oder</w:t>
      </w:r>
    </w:p>
    <w:p>
      <w:pPr>
        <w:pStyle w:val="ListBullet"/>
      </w:pPr>
      <w:r>
        <w:t>Auftragsvergabe Volumen "bis zu 220.000 EUR" mit Vergabeentscheidung durch Verwalter und Beirat delegieren.</w:t>
      </w:r>
    </w:p>
    <w:p>
      <w:pPr>
        <w:pStyle w:val="ListBullet"/>
      </w:pPr>
      <w:r>
        <w:t xml:space="preserve">Verteilung </w:t>
      </w:r>
      <w:r>
        <w:rPr>
          <w:b/>
        </w:rPr>
        <w:t>nach Balkonfläche</w:t>
      </w:r>
      <w:r>
        <w:t xml:space="preserve"> (TOP 9 vorab beschliessen).</w:t>
      </w:r>
    </w:p>
    <w:p>
      <w:pPr>
        <w:pStyle w:val="Heading3"/>
      </w:pPr>
      <w:r>
        <w:rPr>
          <w:rFonts w:ascii="Times New Roman" w:hAnsi="Times New Roman"/>
        </w:rPr>
        <w:t>TOP 7 — Wallbox WE 19 Gestattung</w:t>
      </w:r>
    </w:p>
    <w:p>
      <w:pPr>
        <w:jc w:val="left"/>
      </w:pPr>
      <w:r>
        <w:rPr>
          <w:b/>
        </w:rPr>
        <w:t>Risiko: 🟢 niedrig</w:t>
      </w:r>
    </w:p>
    <w:p>
      <w:pPr>
        <w:jc w:val="left"/>
      </w:pPr>
      <w:r>
        <w:t xml:space="preserve">§ 20 II Nr. 2 WEG gewährt Antragsteller </w:t>
      </w:r>
      <w:r>
        <w:rPr>
          <w:b/>
        </w:rPr>
        <w:t>Anspruch</w:t>
      </w:r>
      <w:r>
        <w:t xml:space="preserve"> auf Gestattung. Die Gemeinschaft kann nur die </w:t>
      </w:r>
      <w:r>
        <w:rPr>
          <w:b/>
        </w:rPr>
        <w:t>Art und Weise</w:t>
      </w:r>
      <w:r>
        <w:t xml:space="preserve"> durch Beschluss regeln (BGH V ZR 244/22 v. 09.02.2024 — verifizieren). Wenn die Vorlage Art und Weise klar regelt (Hersteller, Leistung, Trasse, Rückbau-Klausel, Versicherung), ist sie sicher.</w:t>
      </w:r>
    </w:p>
    <w:p>
      <w:pPr>
        <w:pStyle w:val="Heading3"/>
      </w:pPr>
      <w:r>
        <w:rPr>
          <w:rFonts w:ascii="Times New Roman" w:hAnsi="Times New Roman"/>
        </w:rPr>
        <w:t>TOP 8 — Steckersolar 5 Anträge</w:t>
      </w:r>
    </w:p>
    <w:p>
      <w:pPr>
        <w:jc w:val="left"/>
      </w:pPr>
      <w:r>
        <w:rPr>
          <w:b/>
        </w:rPr>
        <w:t>Risiko: 🟡 mittel</w:t>
      </w:r>
    </w:p>
    <w:p>
      <w:pPr>
        <w:jc w:val="left"/>
      </w:pPr>
      <w:r>
        <w:t>Gründe:</w:t>
      </w:r>
    </w:p>
    <w:p>
      <w:pPr>
        <w:pStyle w:val="ListNumber"/>
      </w:pPr>
      <w:r>
        <w:rPr>
          <w:b/>
        </w:rPr>
        <w:t>Antragsberechtigung WE 7, 11 (Krause-GbR vermietet)</w:t>
      </w:r>
      <w:r>
        <w:t xml:space="preserve">: Antrag muss vom </w:t>
      </w:r>
      <w:r>
        <w:rPr>
          <w:b/>
        </w:rPr>
        <w:t>Eigentümer</w:t>
      </w:r>
      <w:r>
        <w:t xml:space="preserve"> ausgehen, nicht vom Mieter. Wenn Krause-GbR den Antrag selbst stellt, ist es ok; wenn Mieter, ist Antrag nicht ordnungsgemaess.</w:t>
      </w:r>
    </w:p>
    <w:p>
      <w:pPr>
        <w:pStyle w:val="ListNumber"/>
      </w:pPr>
      <w:r>
        <w:rPr>
          <w:b/>
        </w:rPr>
        <w:t>Einheitliche Optik im historischen Hof</w:t>
      </w:r>
      <w:r>
        <w:t>: Wenn ohne einheitliche Vorgaben gestattet wird, droht später Beschluss-Änderung notwendig zu werden — riskant.</w:t>
      </w:r>
    </w:p>
    <w:p>
      <w:pPr>
        <w:jc w:val="left"/>
      </w:pPr>
      <w:r>
        <w:t>§ 20 II Nr. 5 WEG (SteG-Reform 2024) — Steckersolar als privilegierte Veränderung. Live-Verifikation der Norm-Verortung empfohlen.</w:t>
      </w:r>
    </w:p>
    <w:p>
      <w:pPr>
        <w:jc w:val="left"/>
      </w:pPr>
      <w:r>
        <w:t>Mitigations-Vorschlag: Vor der EV Antragsberechtigung der WE 7+11 klären; Pflichtangabe einheitliche Optik (Farbe, Befestigungsart).</w:t>
      </w:r>
    </w:p>
    <w:p>
      <w:pPr>
        <w:pStyle w:val="Heading3"/>
      </w:pPr>
      <w:r>
        <w:rPr>
          <w:rFonts w:ascii="Times New Roman" w:hAnsi="Times New Roman"/>
        </w:rPr>
        <w:t>TOP 9 — Verteilungs-Änderung Balkonfläche</w:t>
      </w:r>
    </w:p>
    <w:p>
      <w:pPr>
        <w:jc w:val="left"/>
      </w:pPr>
      <w:r>
        <w:rPr>
          <w:b/>
        </w:rPr>
        <w:t>Risiko: 🟢 niedrig</w:t>
      </w:r>
    </w:p>
    <w:p>
      <w:pPr>
        <w:jc w:val="left"/>
      </w:pPr>
      <w:r>
        <w:t xml:space="preserve">BGH V ZR 236/23 v. 14.02.2025 stützt: Änderung der Verteilung von Erhaltungskosten </w:t>
      </w:r>
      <w:r>
        <w:rPr>
          <w:b/>
        </w:rPr>
        <w:t>kann</w:t>
      </w:r>
      <w:r>
        <w:t xml:space="preserve"> mit einfacher Mehrheit beschlossen werden, wenn sachlicher Grund vorliegt. Sachlicher Grund hier: nur hofseitige Eigentümer profitieren von der Sanierung.</w:t>
      </w:r>
    </w:p>
    <w:p>
      <w:pPr>
        <w:jc w:val="left"/>
      </w:pPr>
      <w:r>
        <w:t xml:space="preserve">Vorsicht: Beschluss muss </w:t>
      </w:r>
      <w:r>
        <w:rPr>
          <w:b/>
        </w:rPr>
        <w:t>wirksam</w:t>
      </w:r>
      <w:r>
        <w:t xml:space="preserve"> formuliert sein — Klarheit, welcher Eigentümer welchen Anteil zahlt; Anlage mit Berechnung wird beigefügt.</w:t>
      </w:r>
    </w:p>
    <w:p>
      <w:pPr>
        <w:pStyle w:val="Heading3"/>
      </w:pPr>
      <w:r>
        <w:rPr>
          <w:rFonts w:ascii="Times New Roman" w:hAnsi="Times New Roman"/>
        </w:rPr>
        <w:t>TOP 10 — Wartungsvertrag-Kündigung</w:t>
      </w:r>
    </w:p>
    <w:p>
      <w:pPr>
        <w:jc w:val="left"/>
      </w:pPr>
      <w:r>
        <w:rPr>
          <w:b/>
        </w:rPr>
        <w:t>Risiko: 🟢 niedrig</w:t>
      </w:r>
    </w:p>
    <w:p>
      <w:pPr>
        <w:jc w:val="left"/>
      </w:pPr>
      <w:r>
        <w:t>Standard. Verwalter setzt um.</w:t>
      </w:r>
    </w:p>
    <w:p>
      <w:pPr>
        <w:pStyle w:val="Heading3"/>
      </w:pPr>
      <w:r>
        <w:rPr>
          <w:rFonts w:ascii="Times New Roman" w:hAnsi="Times New Roman"/>
        </w:rPr>
        <w:t>TOP 11 — Hausgeldverfolgung Pasternak WE 3</w:t>
      </w:r>
    </w:p>
    <w:p>
      <w:pPr>
        <w:jc w:val="left"/>
      </w:pPr>
      <w:r>
        <w:rPr>
          <w:b/>
        </w:rPr>
        <w:t>Risiko: 🟢 sehr niedrig</w:t>
      </w:r>
    </w:p>
    <w:p>
      <w:pPr>
        <w:jc w:val="left"/>
      </w:pPr>
      <w:r>
        <w:t>Standard-Beschluss; Verwalterzustaendigkeit nach § 27 i.V.m. § 9b WEG; Genehmigung ist gewohnt und beschluss-typisch.</w:t>
      </w:r>
    </w:p>
    <w:p>
      <w:pPr>
        <w:pStyle w:val="Heading2"/>
      </w:pPr>
      <w:r>
        <w:rPr>
          <w:rFonts w:ascii="Times New Roman" w:hAnsi="Times New Roman"/>
        </w:rPr>
        <w:t>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TOP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Mitigation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Jahresabrechnung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CO2-Korrektur vor EV; Genehmigung separat von Entlastung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Wirtschaftsplan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Sonderumlage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🔴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Höhe runter, eigenständig, Verteilungs-Änderung vorab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Wallbox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 mit Auflagen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Steckersolar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🟡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Antragsberechtigung prüfen, Optik vorgeben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 Verteilungs-Änderung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Wartungsvertrag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 Hausgeldverfolgung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🟢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Beirat empfiehlt:</w:t>
      </w:r>
    </w:p>
    <w:p>
      <w:pPr>
        <w:pStyle w:val="ListNumber"/>
      </w:pPr>
      <w:r>
        <w:rPr>
          <w:b/>
        </w:rPr>
        <w:t>TOP 6 in der jetzigen Form streichen oder überarbeiten.</w:t>
      </w:r>
    </w:p>
    <w:p>
      <w:pPr>
        <w:pStyle w:val="ListNumber"/>
      </w:pPr>
      <w:r>
        <w:rPr>
          <w:b/>
        </w:rPr>
        <w:t>TOP 9 (Verteilungs-Änderung) als ersten beschliessen</w:t>
      </w:r>
      <w:r>
        <w:t>, dann TOP 6 (Sonderumlage) mit geringerer Höhe und Volumen-Höchstgrenze.</w:t>
      </w:r>
    </w:p>
    <w:p>
      <w:pPr>
        <w:pStyle w:val="ListNumber"/>
      </w:pPr>
      <w:r>
        <w:rPr>
          <w:b/>
        </w:rPr>
        <w:t>TOP 8 nur für eigentumsfaehige Antragsteller.</w:t>
      </w:r>
    </w:p>
    <w:p>
      <w:pPr>
        <w:pStyle w:val="ListNumber"/>
      </w:pPr>
      <w:r>
        <w:rPr>
          <w:b/>
        </w:rPr>
        <w:t>TOP 4 CO2-Aufteilung korrigieren</w:t>
      </w:r>
      <w:r>
        <w:t xml:space="preserve"> — sonst Anfechtungs-Risiko hoch.</w:t>
      </w:r>
    </w:p>
    <w:p>
      <w:pPr>
        <w:jc w:val="left"/>
      </w:pPr>
      <w:r>
        <w:t xml:space="preserve">Kommunikation an die Verwalterin: bis </w:t>
      </w:r>
      <w:r>
        <w:rPr>
          <w:b/>
        </w:rPr>
        <w:t>30.05.2026</w:t>
      </w:r>
      <w:r>
        <w:t>, damit die Einladung (3-Wochen-Frist § 24 IV WEG bis 27.05.2026 ist heute der Stichtag!) entsprechend korrigiert versendet werden kann.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WEG: https://www.gesetze-im-internet.de/woeigg/</w:t>
      </w:r>
    </w:p>
    <w:p>
      <w:pPr>
        <w:pStyle w:val="ListBullet"/>
      </w:pPr>
      <w:r>
        <w:t>BGH V. Zivilsenat WEG-Linien 2024/2025: https://www.bundesgerichtshof.de/DE/Entscheidungen/entscheidungen_node.html</w:t>
      </w:r>
    </w:p>
    <w:p>
      <w:pPr>
        <w:pStyle w:val="ListBullet"/>
      </w:pPr>
      <w:r>
        <w:t>AG Schoeneberg (Streitsachen WEG Berlin): https://www.berlin.de/gerichte/amtsgericht-schoeneberg/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