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Heizungsstörung, Wasserschaden und Versicherung</w:t>
      </w:r>
    </w:p>
    <w:p>
      <w:pPr>
        <w:jc w:val="left"/>
      </w:pPr>
      <w:r>
        <w:rPr>
          <w:b/>
        </w:rPr>
        <w:t>Objekt:</w:t>
      </w:r>
      <w:r>
        <w:t xml:space="preserve"> Hohenzollernhof, Hohenzollerndamm 180, Berlin-Wilmersdorf</w:t>
      </w:r>
    </w:p>
    <w:p>
      <w:pPr>
        <w:jc w:val="left"/>
      </w:pPr>
      <w:r>
        <w:rPr>
          <w:b/>
        </w:rPr>
        <w:t>Zeitraum:</w:t>
      </w:r>
      <w:r>
        <w:t xml:space="preserve"> 03.02.2026 bis 24.05.2026</w:t>
      </w:r>
    </w:p>
    <w:p>
      <w:pPr>
        <w:jc w:val="left"/>
      </w:pPr>
      <w:r>
        <w:rPr>
          <w:b/>
        </w:rPr>
        <w:t>Bearbeitung:</w:t>
      </w:r>
      <w:r>
        <w:t xml:space="preserve"> Hausverwaltung Abendroth &amp; Partner, Beirat: Dr. Mechthild Bernward, Tarik Yildiz, Gertrud Mautz</w:t>
      </w:r>
    </w:p>
    <w:p>
      <w:pPr>
        <w:pStyle w:val="Heading2"/>
      </w:pPr>
      <w:r>
        <w:rPr>
          <w:rFonts w:ascii="Times New Roman" w:hAnsi="Times New Roman"/>
        </w:rPr>
        <w:t>Chronologie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Mieterin WE 12 meldet nur lauwarmes Wasser ab 21:40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Pernille Krogmann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vollständig dokumentiert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06.02.2026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Heizungsfirma Klotz &amp; Sohn tauscht Ausdehnungsgefäß; Rechnung 1.428,70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Rechnung 2026-0217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bezahlt aus laufender Verwaltung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Druckabfall Heizung, Kellerraum B feucht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WhatsApp Hausmeister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Versicherungsanzeige fehlt zunächst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Feuchtefleck Decke Fahrradkeller, tropfende Leitung am Mischerkreis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Fotoindex 21.03.2026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Gutachter 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Gewerbemieter Restaurant meldet Küchenausfall wegen Warmwasserschwankung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Gastronomie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Minderungsandrohung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zweiter Druckabfall; Notdienst empfiehlt hydraulischen Abgleich und Spülung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Notdienstzettel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Angebot 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Beirat verlangt Versicherungsanzeige und Beschlussvorschlag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Beiratsmail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Offene Fragen</w:t>
      </w:r>
    </w:p>
    <w:p>
      <w:pPr>
        <w:pStyle w:val="ListNumber"/>
      </w:pPr>
      <w:r>
        <w:t>Ist die Ursache eine Leitung im Gemeinschaftseigentum oder eine armaturennahe Störung im Sondereigentum?</w:t>
      </w:r>
    </w:p>
    <w:p>
      <w:pPr>
        <w:pStyle w:val="ListNumber"/>
      </w:pPr>
      <w:r>
        <w:t>Wurde der Gebäudeversicherung der Schaden rechtzeitig gemeldet?</w:t>
      </w:r>
    </w:p>
    <w:p>
      <w:pPr>
        <w:pStyle w:val="ListNumber"/>
      </w:pPr>
      <w:r>
        <w:t>Sind die Rechnungen Erhaltung, Wartung oder Modernisierung?</w:t>
      </w:r>
    </w:p>
    <w:p>
      <w:pPr>
        <w:pStyle w:val="ListNumber"/>
      </w:pPr>
      <w:r>
        <w:t>Muss für die größere Maßnahme ein Beschluss gefasst werden oder durfte die Verwaltung im Notfall handeln?</w:t>
      </w:r>
    </w:p>
    <w:p>
      <w:pPr>
        <w:pStyle w:val="ListNumber"/>
      </w:pPr>
      <w:r>
        <w:t>Welche Mieterkommunikation brauchen vermietende Eigentümer wegen möglicher Minderungen?</w:t>
      </w:r>
    </w:p>
    <w:p>
      <w:pPr>
        <w:pStyle w:val="Heading2"/>
      </w:pPr>
      <w:r>
        <w:rPr>
          <w:rFonts w:ascii="Times New Roman" w:hAnsi="Times New Roman"/>
        </w:rPr>
        <w:t>Entwurf Maßnahmenvermerk</w:t>
      </w:r>
    </w:p>
    <w:p>
      <w:pPr>
        <w:jc w:val="left"/>
      </w:pPr>
      <w:r>
        <w:t>Die Verwaltung sollte die Versicherung unverzüglich nachmelden, Fotos und Handwerkerberichte bündeln, die Ursache fachlich abgrenzen und für die Eigentümerversammlung zwei Beschlussvarianten vorbereiten: Sofortige Schadensbeseitigung mit Kostenrahmen bis 18.000 EUR und ergänzende Planungsfreigabe für hydraulischen Abgleich, Pumpentausch und Dämmung der Leitungsstränge.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