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Hausordnungskonflikte: Fahrrad, Tauben, Kinder, Weihnachtsbaum</w:t>
      </w:r>
    </w:p>
    <w:p>
      <w:pPr>
        <w:pStyle w:val="Heading2"/>
      </w:pPr>
      <w:r>
        <w:rPr>
          <w:rFonts w:ascii="Times New Roman" w:hAnsi="Times New Roman"/>
        </w:rPr>
        <w:t>Fahrradkeller und Diebstahl</w:t>
      </w:r>
    </w:p>
    <w:p>
      <w:pPr>
        <w:jc w:val="left"/>
      </w:pPr>
      <w:r>
        <w:t>Am 18.04.2026 wurden zwei E-Bikes aus dem Fahrradkeller B entwendet. Das Schloss der Kellertür war nicht aufgebrochen; unklar ist, ob die Tür nicht richtig schließt oder dauerhaft verkeilt wird. Gleichzeitig stehen 31 nicht gekennzeichnete Fahrräder im Keller, davon mindestens 9 ohne Luft, 4 Kinderroller und ein Lastenrad im Rettungsweg.</w:t>
      </w:r>
    </w:p>
    <w:p>
      <w:pPr>
        <w:pStyle w:val="Heading2"/>
      </w:pPr>
      <w:r>
        <w:rPr>
          <w:rFonts w:ascii="Times New Roman" w:hAnsi="Times New Roman"/>
        </w:rPr>
        <w:t>Tauben und Balkone</w:t>
      </w:r>
    </w:p>
    <w:p>
      <w:pPr>
        <w:jc w:val="left"/>
      </w:pPr>
      <w:r>
        <w:t>WE 24 meldet Taubenkot auf dem hofseitigen Balkon. WE 25 füttert nach Darstellung mehrerer Eigentümer Vögel auf der Fensterbank; sie bestreitet das und sagt, sie stelle nur Wasser für Pflanzen hinaus. Eine Eigentümerin verlangt Spikes an der Fassade, der Beirat hält Netze für optisch problematisch.</w:t>
      </w:r>
    </w:p>
    <w:p>
      <w:pPr>
        <w:pStyle w:val="Heading2"/>
      </w:pPr>
      <w:r>
        <w:rPr>
          <w:rFonts w:ascii="Times New Roman" w:hAnsi="Times New Roman"/>
        </w:rPr>
        <w:t>Kinder im Hof</w:t>
      </w:r>
    </w:p>
    <w:p>
      <w:pPr>
        <w:jc w:val="left"/>
      </w:pPr>
      <w:r>
        <w:t>Drei Familien nutzen den Hof nachmittags als Spielfläche. Ein Eigentümer verlangt ein Spielverbot nach 18:00 Uhr, weil er im Homeoffice telefoniere. Andere Eigentümer möchten eine klare, kinderfreundliche Hofordnung mit Ruhezeiten und Sicherheitsregeln.</w:t>
      </w:r>
    </w:p>
    <w:p>
      <w:pPr>
        <w:pStyle w:val="Heading2"/>
      </w:pPr>
      <w:r>
        <w:rPr>
          <w:rFonts w:ascii="Times New Roman" w:hAnsi="Times New Roman"/>
        </w:rPr>
        <w:t>Weihnachtsbaum</w:t>
      </w:r>
    </w:p>
    <w:p>
      <w:pPr>
        <w:jc w:val="left"/>
      </w:pPr>
      <w:r>
        <w:t>Der im Dezember 2025 aufgestellte Weihnachtsbaum war mit dünnem Draht an der Regenrinne befestigt. Am 23.12.2025 kippte er bei Wind, beschädigte einen Blumenkübel und blockierte zeitweise den Hauseingang. Die Rechnung des Floristen enthält keine Standsicherheitsangabe.</w:t>
      </w:r>
    </w:p>
    <w:p>
      <w:pPr>
        <w:pStyle w:val="Heading2"/>
      </w:pPr>
      <w:r>
        <w:rPr>
          <w:rFonts w:ascii="Times New Roman" w:hAnsi="Times New Roman"/>
        </w:rPr>
        <w:t>Verwaltungsvorschlag</w:t>
      </w:r>
    </w:p>
    <w:p>
      <w:pPr>
        <w:jc w:val="left"/>
      </w:pPr>
      <w:r>
        <w:t>Die Themen sollten nicht in einem Sammelbeschluss untergehen. Sinnvoll sind getrennte TOPs: Fahrradordnung/Räumaktion, Taubenabwehr nach technischer Prüfung, Hofnutzungsordnung mit Kinderperspektive, Weihnachtsbaum nur mit Standsicherheits- und Brandschutzvorgaben.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