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TOP-Marathon 17.06.2026 — Arbeitsfassung</w:t>
      </w:r>
    </w:p>
    <w:p>
      <w:pPr>
        <w:pStyle w:val="Heading2"/>
      </w:pPr>
      <w:r>
        <w:rPr>
          <w:rFonts w:ascii="Times New Roman" w:hAnsi="Times New Roman"/>
        </w:rPr>
        <w:t>Vorgesehene Tagesordnung</w:t>
      </w:r>
    </w:p>
    <w:p>
      <w:pPr>
        <w:pStyle w:val="ListNumber"/>
      </w:pPr>
      <w:r>
        <w:t>Eröffnung, Feststellung der Beschlussfähigkeit, Versammlungsleitung.</w:t>
      </w:r>
    </w:p>
    <w:p>
      <w:pPr>
        <w:pStyle w:val="ListNumber"/>
      </w:pPr>
      <w:r>
        <w:t>Genehmigung Protokoll 25.10.2024.</w:t>
      </w:r>
    </w:p>
    <w:p>
      <w:pPr>
        <w:pStyle w:val="ListNumber"/>
      </w:pPr>
      <w:r>
        <w:t>Jahresabrechnung 2025 und Vermögensbericht.</w:t>
      </w:r>
    </w:p>
    <w:p>
      <w:pPr>
        <w:pStyle w:val="ListNumber"/>
      </w:pPr>
      <w:r>
        <w:t>Wirtschaftsplan 2026.</w:t>
      </w:r>
    </w:p>
    <w:p>
      <w:pPr>
        <w:pStyle w:val="ListNumber"/>
      </w:pPr>
      <w:r>
        <w:t>Sonderumlage Balkone und Dachanschlüsse.</w:t>
      </w:r>
    </w:p>
    <w:p>
      <w:pPr>
        <w:pStyle w:val="ListNumber"/>
      </w:pPr>
      <w:r>
        <w:t>Heizungsstörung / Leckortung / Versicherung.</w:t>
      </w:r>
    </w:p>
    <w:p>
      <w:pPr>
        <w:pStyle w:val="ListNumber"/>
      </w:pPr>
      <w:r>
        <w:t>Ladeinfrastruktur Tiefgarage: Einzel-Wallbox und Gesamtkonzept.</w:t>
      </w:r>
    </w:p>
    <w:p>
      <w:pPr>
        <w:pStyle w:val="ListNumber"/>
      </w:pPr>
      <w:r>
        <w:t>Entfernung Kellerstrom-Provisorien.</w:t>
      </w:r>
    </w:p>
    <w:p>
      <w:pPr>
        <w:pStyle w:val="ListNumber"/>
      </w:pPr>
      <w:r>
        <w:t>Steckersolar-Standardbeschluss.</w:t>
      </w:r>
    </w:p>
    <w:p>
      <w:pPr>
        <w:pStyle w:val="ListNumber"/>
      </w:pPr>
      <w:r>
        <w:t>Dach-PV Machbarkeitsstudie.</w:t>
      </w:r>
    </w:p>
    <w:p>
      <w:pPr>
        <w:pStyle w:val="ListNumber"/>
      </w:pPr>
      <w:r>
        <w:t>Restaurant Il Tiglio: Abluft, Müll, Hofnutzung.</w:t>
      </w:r>
    </w:p>
    <w:p>
      <w:pPr>
        <w:pStyle w:val="ListNumber"/>
      </w:pPr>
      <w:r>
        <w:t>Fahrradkeller: Räumaktion, Kennzeichnung, Schlossanlage.</w:t>
      </w:r>
    </w:p>
    <w:p>
      <w:pPr>
        <w:pStyle w:val="ListNumber"/>
      </w:pPr>
      <w:r>
        <w:t>Taubenabwehr und Fassadenschutz.</w:t>
      </w:r>
    </w:p>
    <w:p>
      <w:pPr>
        <w:pStyle w:val="ListNumber"/>
      </w:pPr>
      <w:r>
        <w:t>Hofnutzungsordnung: Kinder, Ruhezeiten, Sicherheit.</w:t>
      </w:r>
    </w:p>
    <w:p>
      <w:pPr>
        <w:pStyle w:val="ListNumber"/>
      </w:pPr>
      <w:r>
        <w:t>Weihnachtsbaum und saisonale Dekoration.</w:t>
      </w:r>
    </w:p>
    <w:p>
      <w:pPr>
        <w:pStyle w:val="ListNumber"/>
      </w:pPr>
      <w:r>
        <w:t>Hausgeldrückstand WE 3 Pasternak.</w:t>
      </w:r>
    </w:p>
    <w:p>
      <w:pPr>
        <w:pStyle w:val="ListNumber"/>
      </w:pPr>
      <w:r>
        <w:t>Verwalterbericht und Beiratsentlastung.</w:t>
      </w:r>
    </w:p>
    <w:p>
      <w:pPr>
        <w:pStyle w:val="ListNumber"/>
      </w:pPr>
      <w:r>
        <w:t>Beschlusssammlung, Nachversand, nächste Schritte.</w:t>
      </w:r>
    </w:p>
    <w:p>
      <w:pPr>
        <w:pStyle w:val="Heading2"/>
      </w:pPr>
      <w:r>
        <w:rPr>
          <w:rFonts w:ascii="Times New Roman" w:hAnsi="Times New Roman"/>
        </w:rPr>
        <w:t>Protokollhinweis</w:t>
      </w:r>
    </w:p>
    <w:p>
      <w:pPr>
        <w:jc w:val="left"/>
      </w:pPr>
      <w:r>
        <w:t>Zu jedem TOP müssen Beschlusswortlaut, Abstimmungsergebnis, Verkündung, Kostenrahmen, Finanzierung und Nacharbeit gesondert erfasst werden. Sammelabstimmungen sind bei streitigen Themen zu vermeiden.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