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Ist-/Plan-Abrechnung und Vermieterpaket</w:t>
      </w:r>
    </w:p>
    <w:p>
      <w:pPr>
        <w:pStyle w:val="Heading2"/>
      </w:pPr>
      <w:r>
        <w:rPr>
          <w:rFonts w:ascii="Times New Roman" w:hAnsi="Times New Roman"/>
        </w:rPr>
        <w:t>Auffälligkeiten Jahresabrechnung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Ist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Plan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Plan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Auffälligkeit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Heizung/Warmwasser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83.460,22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91.000,00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Druckverlust, CO2-Kosten ungeklärt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Hausmeister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31.900,00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28.500,00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33.600,00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Zusatzstunden Fahrradkeller/Hof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Versicherung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24.780,10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19.400,00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27.500,00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Schadenquote und Selbstbehalt 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Allgemeinstrom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12.844,78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9.800,00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14.200,00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Tiefgarage/Kellerstrom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Müll/Gewerbe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18.340,55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Restaurantanteil unklar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Erhaltung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74.220,40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42.000,00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105.000,00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Balkone, Heizung, Dachanschlüsse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Vermietende Eigentümer</w:t>
      </w:r>
    </w:p>
    <w:p>
      <w:pPr>
        <w:jc w:val="left"/>
      </w:pPr>
      <w:r>
        <w:t>Vermietende Eigentümer benötigen eine gesonderte Auswertung, weil nicht jede WEG-Position umlagefähig ist. Insbesondere Erhaltung, Instandsetzung, Verwaltungskosten, Bankgebühren, Beiratskosten und Prozesskosten dürfen nicht einfach in die Betriebskostenabrechnung übernommen werden. Gewerbeverursachte Mehrkosten müssen gesondert geprüft werden.</w:t>
      </w:r>
    </w:p>
    <w:p>
      <w:pPr>
        <w:pStyle w:val="Heading2"/>
      </w:pPr>
      <w:r>
        <w:rPr>
          <w:rFonts w:ascii="Times New Roman" w:hAnsi="Times New Roman"/>
        </w:rPr>
        <w:t>Prüfauftrag</w:t>
      </w:r>
    </w:p>
    <w:p>
      <w:pPr>
        <w:jc w:val="left"/>
      </w:pPr>
      <w:r>
        <w:t>Die Verwaltung soll bis 06.06.2026 ein Belegpaket bereitstellen: Hauptbuch, Einzelrechnungen, Verteilerschlüssel, Heizkostenabrechnung, Versicherungsschriftwechsel, Hausmeisterstunden, Müllkosten Restaurant und Allgemeinstrom Tiefgarage.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