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NorthSea Orbits GmbH, Bundesbehörden, Küstengemeinde Hohenwerder, Fischerverband, Versichererkonsortium und ausländischer Launch Provider.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240 Kleinsatelliten, Frequenzen, Startplatzrecht, Haftungsfreistellungen, Rückfallrisiko, Cybervorfall und Investorenbesicherung werden gleichzeitig verhandelt.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Weltraumvertrag, Haftungsübereinkommen, Registrierungsübereinkommen, ITU/Frequenzregime, deutsches Sicherheits- und Außenwirtschaftsrecht, BNetzA-Zuteilung, BSI-Meldeketten.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