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NorthSea Orbits: Satellitenschwarm, Startplatz und Haftungsregime“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240 Kleinsatelliten, Frequenzen, Startplatzrecht, Haftungsfreistellungen, Rückfallrisiko, Cybervorfall und Investorenbesicherung werden gleichzeitig verhandelt.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Weltraumvertrag, Haftungsübereinkommen, Registrierungsübereinkommen, ITU/Frequenzregime, deutsches Sicherheits- und Außenwirtschaftsrecht, BNetzA-Zuteilung, BSI-Meldeketten.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