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NorthSea Orbits: Satellitenschwarm, Startplatz und Haftungsregime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Weltraumvertrag, Haftungsübereinkommen, Registrierungsübereinkommen, ITU/Frequenzregime, deutsches Sicherheits- und Außenwirtschaftsrecht, BNetzA-Zuteilung, BSI-Meldeketten.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