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NorthSea Orbits: Satellitenschwarm, Startplatz und Haftungsregime</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240 Kleinsatelliten, Frequenzen, Startplatzrecht, Haftungsfreistellungen, Rückfallrisiko, Cybervorfall und Investorenbesicherung werden gleichzeitig verhandelt.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Weltraumvertrag, Haftungsübereinkommen, Registrierungsübereinkommen, ITU/Frequenzregime, deutsches Sicherheits- und Außenwirtschaftsrecht, BNetzA-Zuteilung, BSI-Meldeketten.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