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Werkmangel: Rissbildung Bodenplatte Werkstattgebäude</w:t>
      </w:r>
    </w:p>
    <w:p>
      <w:pPr>
        <w:jc w:val="left"/>
      </w:pPr>
      <w:r>
        <w:rPr>
          <w:b/>
        </w:rPr>
        <w:t>Kanzlei Niedermair Baurecht Rosenheim — AZ NB-2026-0318</w:t>
      </w:r>
    </w:p>
    <w:p>
      <w:pPr>
        <w:jc w:val="left"/>
      </w:pPr>
      <w:r>
        <w:t>Anlage: Gutachten SV Riedhof (Az. NB-2026-0318/GU-01, Entwurf 14.03.2026)</w:t>
      </w:r>
    </w:p>
    <w:p/>
    <w:p>
      <w:pPr>
        <w:pStyle w:val="Heading2"/>
      </w:pPr>
      <w:r>
        <w:rPr>
          <w:rFonts w:ascii="Times New Roman" w:hAnsi="Times New Roman"/>
        </w:rPr>
        <w:t>A. Sachverhalt und Schadenserscheinung</w:t>
      </w:r>
    </w:p>
    <w:p>
      <w:pPr>
        <w:pStyle w:val="Heading3"/>
      </w:pPr>
      <w:r>
        <w:rPr>
          <w:rFonts w:ascii="Times New Roman" w:hAnsi="Times New Roman"/>
        </w:rPr>
        <w:t>Bauliche Ausgangssituation</w:t>
      </w:r>
    </w:p>
    <w:p>
      <w:pPr>
        <w:jc w:val="left"/>
      </w:pPr>
      <w:r>
        <w:t>Das Werkstattgebäude der Saalbau Wendelstein gGmbH (Baukörper 2 gemäß Genehmigungsplanung) ist ein zweigeschossiges Massivgebäude mit Stahlbetonbodenplatte. Nach den Planungsunterlagen des Ingenieurbüros Dr. Eschelmann ist die Bodenplatte wie folgt konzipiert:</w:t>
      </w:r>
    </w:p>
    <w:p>
      <w:pPr>
        <w:pStyle w:val="ListBullet"/>
      </w:pPr>
      <w:r>
        <w:rPr>
          <w:b/>
        </w:rPr>
        <w:t>Bodenplatte:</w:t>
      </w:r>
      <w:r>
        <w:t xml:space="preserve"> Stahlbeton C 25/30 XC2, Dicke 30 cm</w:t>
      </w:r>
    </w:p>
    <w:p>
      <w:pPr>
        <w:pStyle w:val="ListBullet"/>
      </w:pPr>
      <w:r>
        <w:rPr>
          <w:b/>
        </w:rPr>
        <w:t>Unterbau:</w:t>
      </w:r>
      <w:r>
        <w:t xml:space="preserve"> 20 cm Magerbeton-Sauberkeitsschicht auf 35 cm verdichtetem Schotterbett (Korngruppe 0/32)</w:t>
      </w:r>
    </w:p>
    <w:p>
      <w:pPr>
        <w:pStyle w:val="ListBullet"/>
      </w:pPr>
      <w:r>
        <w:rPr>
          <w:b/>
        </w:rPr>
        <w:t>Bewehrung:</w:t>
      </w:r>
      <w:r>
        <w:t xml:space="preserve"> Mattenbewehrung Q 335 A (oben und unten), zusätzliche Randstabbewehrung</w:t>
      </w:r>
    </w:p>
    <w:p>
      <w:pPr>
        <w:pStyle w:val="ListBullet"/>
      </w:pPr>
      <w:r>
        <w:rPr>
          <w:b/>
        </w:rPr>
        <w:t>Heizestrich:</w:t>
      </w:r>
      <w:r>
        <w:t xml:space="preserve"> 80 mm Heizestrich CT-F5 auf 30 mm Trennlage PE-Folie und 30 mm Dämmung EPS 035</w:t>
      </w:r>
    </w:p>
    <w:p>
      <w:pPr>
        <w:pStyle w:val="ListBullet"/>
      </w:pPr>
      <w:r>
        <w:rPr>
          <w:b/>
        </w:rPr>
        <w:t>Abdichtung Schächte:</w:t>
      </w:r>
      <w:r>
        <w:t xml:space="preserve"> Kellerersatzabdichtung nach DIN 18533, Anschluss Schachtbauwerk</w:t>
      </w:r>
    </w:p>
    <w:p>
      <w:pPr>
        <w:jc w:val="left"/>
      </w:pPr>
      <w:r>
        <w:t xml:space="preserve">Fertigstellung Rohbau: August 2025. Erster Innenausbau: September/Oktober 2025. Erste Risswahrnehmung durch Mitarbeiter: </w:t>
      </w:r>
      <w:r>
        <w:rPr>
          <w:b/>
        </w:rPr>
        <w:t>16. Februar 2026</w:t>
      </w:r>
      <w:r>
        <w:t xml:space="preserve"> (nach ca. 11 Monaten Nutzung/Standzeit).</w:t>
      </w:r>
    </w:p>
    <w:p/>
    <w:p>
      <w:pPr>
        <w:pStyle w:val="Heading3"/>
      </w:pPr>
      <w:r>
        <w:rPr>
          <w:rFonts w:ascii="Times New Roman" w:hAnsi="Times New Roman"/>
        </w:rPr>
        <w:t>Schadensbild (lt. Gutachten Riedhof, Begehung 22.02.2026 und 01.03.2026)</w:t>
      </w:r>
    </w:p>
    <w:p>
      <w:pPr>
        <w:jc w:val="left"/>
      </w:pPr>
      <w:r>
        <w:t>Sachverständiger Dipl.-Ing. Helmut Riedhof hat nach zwei Begehungen folgende Schadenserscheinungen dokumentiert:</w:t>
      </w:r>
    </w:p>
    <w:p>
      <w:pPr>
        <w:jc w:val="left"/>
      </w:pPr>
      <w:r>
        <w:rPr>
          <w:b/>
        </w:rPr>
        <w:t>1. Rissbildung Bodenplatte:</w:t>
      </w:r>
    </w:p>
    <w:p>
      <w:pPr>
        <w:pStyle w:val="ListBullet"/>
      </w:pPr>
      <w:r>
        <w:t>Insgesamt 14 Risse in der Bodenplatte, davon 6 durchgehende Risse (gemessen nach Bohrkernentnahme)</w:t>
      </w:r>
    </w:p>
    <w:p>
      <w:pPr>
        <w:pStyle w:val="ListBullet"/>
      </w:pPr>
      <w:r>
        <w:t>Rissbreiten 0,2–1,4 mm, überwiegend in Ost-West-Richtung verlaufend (senkrecht zur Hauptspannrichtung)</w:t>
      </w:r>
    </w:p>
    <w:p>
      <w:pPr>
        <w:pStyle w:val="ListBullet"/>
      </w:pPr>
      <w:r>
        <w:t>Risstiefe: teilweise bis 18 cm (mehr als halbe Plattendicke) nachgewiesen</w:t>
      </w:r>
    </w:p>
    <w:p>
      <w:pPr>
        <w:pStyle w:val="ListBullet"/>
      </w:pPr>
      <w:r>
        <w:t>Auffälliges Muster: Risse konzentrieren sich im mittleren Drittel der Bodenplatte, Abstand Schachtreihe zu Rissschwerpunkt ca. 2,1 m</w:t>
      </w:r>
    </w:p>
    <w:p>
      <w:pPr>
        <w:pStyle w:val="ListBullet"/>
      </w:pPr>
      <w:r>
        <w:t>Rissöffnung nach Feuchtigkeitsdurchgang: sichtbare Feuchtflecken auf Estrichoberfläche in Bereichen mit tiefgehenden Rissen</w:t>
      </w:r>
    </w:p>
    <w:p>
      <w:pPr>
        <w:jc w:val="left"/>
      </w:pPr>
      <w:r>
        <w:rPr>
          <w:b/>
        </w:rPr>
        <w:t>2. Ausfall Estrich-Heizungssystem:</w:t>
      </w:r>
    </w:p>
    <w:p>
      <w:pPr>
        <w:pStyle w:val="ListBullet"/>
      </w:pPr>
      <w:r>
        <w:t>Heizestrich vollständig ausgefallen in Heizkreis 3 (Raum Metallwerkstatt, ca. 180 m²): kein Durchfluss feststellbar</w:t>
      </w:r>
    </w:p>
    <w:p>
      <w:pPr>
        <w:pStyle w:val="ListBullet"/>
      </w:pPr>
      <w:r>
        <w:t>Thermokamera-Aufnahme (Riedhof, 22.02.2026): kaltes Areal deckt sich mit Rissbereich</w:t>
      </w:r>
    </w:p>
    <w:p>
      <w:pPr>
        <w:pStyle w:val="ListBullet"/>
      </w:pPr>
      <w:r>
        <w:t>Verdacht: Rohrbruch/Leitungsquetschung durch Rissversatz; endoskopische Untersuchung empfohlen</w:t>
      </w:r>
    </w:p>
    <w:p>
      <w:pPr>
        <w:pStyle w:val="ListBullet"/>
      </w:pPr>
      <w:r>
        <w:t>Heizkreise 1, 2 und 4: betriebsbereit, jedoch Druckverlust in Kreis 1 (Undichtigkeit vermutet)</w:t>
      </w:r>
    </w:p>
    <w:p>
      <w:pPr>
        <w:jc w:val="left"/>
      </w:pPr>
      <w:r>
        <w:rPr>
          <w:b/>
        </w:rPr>
        <w:t>3. Undichte Schächte:</w:t>
      </w:r>
    </w:p>
    <w:p>
      <w:pPr>
        <w:pStyle w:val="ListBullet"/>
      </w:pPr>
      <w:r>
        <w:t>Schacht S3 (Entwässerungsschacht Werkstatt EG): Wassereintritt von außen nach innen, ca. 0,3 L/h (gemessen Riedhof 01.03.2026)</w:t>
      </w:r>
    </w:p>
    <w:p>
      <w:pPr>
        <w:pStyle w:val="ListBullet"/>
      </w:pPr>
      <w:r>
        <w:t>Schacht S7 (Kabelschacht Nordwand): Feuchtigkeitsfilm an Außenwandung, Fugenöffnung ca. 0,8 mm</w:t>
      </w:r>
    </w:p>
    <w:p/>
    <w:p>
      <w:pPr>
        <w:pStyle w:val="Heading2"/>
      </w:pPr>
      <w:r>
        <w:rPr>
          <w:rFonts w:ascii="Times New Roman" w:hAnsi="Times New Roman"/>
        </w:rPr>
        <w:t>B. Ursachenanalyse (Gutachten Riedhof)</w:t>
      </w:r>
    </w:p>
    <w:p>
      <w:pPr>
        <w:jc w:val="left"/>
      </w:pPr>
      <w:r>
        <w:t>Riedhof benennt folgende Ursachenkomplexe:</w:t>
      </w:r>
    </w:p>
    <w:p>
      <w:pPr>
        <w:pStyle w:val="Heading3"/>
      </w:pPr>
      <w:r>
        <w:rPr>
          <w:rFonts w:ascii="Times New Roman" w:hAnsi="Times New Roman"/>
        </w:rPr>
        <w:t>1. Ungenügende Verdichtung des Untergrunds</w:t>
      </w:r>
    </w:p>
    <w:p>
      <w:pPr>
        <w:jc w:val="left"/>
      </w:pPr>
      <w:r>
        <w:t xml:space="preserve">Der Sachverständige hat am 01.03.2026 vier Rammkernsondierungen (RKS 1 bis RKS 4) vorgenommen. Ergebnis: Die Lagerungsdichte des Schotterbettmaterials unter der Bodenplatte erreicht im Mittel nur </w:t>
      </w:r>
      <w:r>
        <w:rPr>
          <w:b/>
        </w:rPr>
        <w:t>D = 0,55</w:t>
      </w:r>
      <w:r>
        <w:t xml:space="preserve"> (anzustreben gemäß DIN 1054 und LV: D ≥ 0,75 für Bodenplattenlager). Der Mindestwert wird an drei von vier Sondierstellen unterschritten.</w:t>
      </w:r>
    </w:p>
    <w:p>
      <w:pPr>
        <w:jc w:val="left"/>
      </w:pPr>
      <w:r>
        <w:t>Riedhof verweist auf das Verdichtungsprotokoll der Holzner Tiefbau KG vom 18. Juli 2025: Die Protokollbögen weisen für das Schotterbett formal ausreichende Verdichtungsgrade aus, doch fehlen Belege für die vertraglich geforderten Rammsondierungskontrollen nach DIN EN ISO 22476-3. Das Prüfingenieur-Attest zur Bodenplatte des Ingenieurbüros Dr. Eschelmann vom 28. August 2025 enthält keine eigenständige Verdichtungsprüfung — es wird auf die GU-Protokolle verwiesen.</w:t>
      </w:r>
    </w:p>
    <w:p>
      <w:pPr>
        <w:jc w:val="left"/>
      </w:pPr>
      <w:r>
        <w:rPr>
          <w:b/>
        </w:rPr>
        <w:t>Schlussfolgerung Riedhof:</w:t>
      </w:r>
      <w:r>
        <w:t xml:space="preserve"> Die tatsächliche Verdichtung lag deutlich unterhalb der Anforderungen. Differenzsetzungen im Bereich von 8–12 mm (gemessen an Rissufern) sind mit der mangelhaften Verdichtung konsistent.</w:t>
      </w:r>
    </w:p>
    <w:p>
      <w:pPr>
        <w:pStyle w:val="Heading3"/>
      </w:pPr>
      <w:r>
        <w:rPr>
          <w:rFonts w:ascii="Times New Roman" w:hAnsi="Times New Roman"/>
        </w:rPr>
        <w:t>2. Mangelhafte Bewehrung</w:t>
      </w:r>
    </w:p>
    <w:p>
      <w:pPr>
        <w:jc w:val="left"/>
      </w:pPr>
      <w:r>
        <w:t>Die Bohrkernentnahme (BK-01 bis BK-03, Durchmesser 100 mm) vom 01.03.2026 zeigt:</w:t>
      </w:r>
    </w:p>
    <w:p>
      <w:pPr>
        <w:pStyle w:val="ListBullet"/>
      </w:pPr>
      <w:r>
        <w:t>Betondeckung: gemessen im Mittel 18 mm (Anforderung nach Expose XC2: mind. 25 mm zzgl. 10 mm Toleranz = effektiv 25 mm cnom)</w:t>
      </w:r>
    </w:p>
    <w:p>
      <w:pPr>
        <w:pStyle w:val="ListBullet"/>
      </w:pPr>
      <w:r>
        <w:t>Bewehrungsabstand: Mattenstabdurchmesser 8 mm (Mattenbewehrung Q 335 A entspricht ⌀ 7,8 mm — planmäßig); jedoch: Betondeckung unterschritten bedeutet, dass der Stahlquerschnitt bei auftretenden Rissen früher korrodieren kann</w:t>
      </w:r>
    </w:p>
    <w:p>
      <w:pPr>
        <w:pStyle w:val="ListBullet"/>
      </w:pPr>
      <w:r>
        <w:t>Randstabbewehrung: Im Rissbereich fehlt die in Positionsplan Pos. 3.1 vorgesehene zusätzliche Randbewehrung ⌀ 14 mm, Abstand 15 cm im Bereich der Schachtanschlüsse</w:t>
      </w:r>
    </w:p>
    <w:p>
      <w:pPr>
        <w:jc w:val="left"/>
      </w:pPr>
      <w:r>
        <w:rPr>
          <w:b/>
        </w:rPr>
        <w:t>Schlussfolgerung Riedhof:</w:t>
      </w:r>
      <w:r>
        <w:t xml:space="preserve"> Das Fehlen der Randstabbewehrung hat die Risskontrolle im kritischen Bereich der Schachtanschlüsse beeinträchtigt. Die Rissbreiten wären mit planmäßiger Bewehrung deutlich geringer geblieben.</w:t>
      </w:r>
    </w:p>
    <w:p>
      <w:pPr>
        <w:pStyle w:val="Heading3"/>
      </w:pPr>
      <w:r>
        <w:rPr>
          <w:rFonts w:ascii="Times New Roman" w:hAnsi="Times New Roman"/>
        </w:rPr>
        <w:t>3. Schäden an Schächten</w:t>
      </w:r>
    </w:p>
    <w:p>
      <w:pPr>
        <w:jc w:val="left"/>
      </w:pPr>
      <w:r>
        <w:t>Die Abdichtung der Schächte entspricht nicht DIN 18533 Teil 1 und 2 (Abdichtung erdberührter Bauteile). Der Anschluss des Schachtbauwerks an die Bodenplatte ist mit PCI Pecilastic beschichtet, jedoch fehlt die vorgesehene Verstärkungseinlage (Glasgittermatte 300 g/m²) im Anschlussbereich. Fugenband wurde nicht eingebaut.</w:t>
      </w:r>
    </w:p>
    <w:p/>
    <w:p>
      <w:pPr>
        <w:pStyle w:val="Heading2"/>
      </w:pPr>
      <w:r>
        <w:rPr>
          <w:rFonts w:ascii="Times New Roman" w:hAnsi="Times New Roman"/>
        </w:rPr>
        <w:t>C. Rechtliche Bewertung — Werkmangel</w:t>
      </w:r>
    </w:p>
    <w:p>
      <w:pPr>
        <w:pStyle w:val="Heading3"/>
      </w:pPr>
      <w:r>
        <w:rPr>
          <w:rFonts w:ascii="Times New Roman" w:hAnsi="Times New Roman"/>
        </w:rPr>
        <w:t>Mangeltatbestand § 13 Abs. 1 VOB/B / § 633 Abs. 2 BGB</w:t>
      </w:r>
    </w:p>
    <w:p>
      <w:pPr>
        <w:jc w:val="left"/>
      </w:pPr>
      <w:r>
        <w:t>Ein Werkangel liegt vor, wenn das Werk nicht die vereinbarte Beschaffenheit hat, die vereinbarte Beschaffenheit fehlt oder das Werk sich nicht für die nach dem Vertrag vorausgesetzte Verwendung eignet.</w:t>
      </w:r>
    </w:p>
    <w:p>
      <w:pPr>
        <w:jc w:val="left"/>
      </w:pPr>
      <w:r>
        <w:rPr>
          <w:b/>
        </w:rPr>
        <w:t>Feststellung:</w:t>
      </w:r>
      <w:r>
        <w:t xml:space="preserve"> Das Werkstattgebäude weist folgende Abweichungen von der vereinbarten Beschaffenheit auf: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Mangel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Vertragsabweichung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Norm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Bodenplatte: 14 Risse, bis 1,4 mm Rissbreite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Nicht nach DIN 18202 Tab. 3, Zeile 3 (&lt; 0,3 mm zulässig)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DIN 18202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Schotterbett: Verdichtungsgrad D 0,55 statt 0,75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LV Pos. 4.2.1 fordert D ≥ 0,75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DIN 1054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Fehlende Randstabbewehrung Schachtbereich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Abweichung vom Bewehrungsplan Pos. 3.1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IBr Dr. Eschelmann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Heizkreis 3 ausgefallen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Funktion nicht gegeben; LV fordert volle Betriebsfähigkeit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LV Pos. 9.4.3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Schacht S3 undicht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LV Pos. 14.2.1; DIN 18533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DIN 18533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M-06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Schacht S7 undicht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Fugenband nicht eingebaut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LV Pos. 14.2.3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Beweisführung</w:t>
      </w:r>
    </w:p>
    <w:p>
      <w:pPr>
        <w:pStyle w:val="ListBullet"/>
      </w:pPr>
      <w:r>
        <w:t>Gutachten Riedhof (Privatgutachten): liefert tatsächliche Grundlage</w:t>
      </w:r>
    </w:p>
    <w:p>
      <w:pPr>
        <w:pStyle w:val="ListBullet"/>
      </w:pPr>
      <w:r>
        <w:t>Gerichtliches Gutachten im selbstständigen Beweisverfahren Az. 2 OH 7/26 LG Traunstein (in Vorbereitung): wird Privatgutachten absichern</w:t>
      </w:r>
    </w:p>
    <w:p>
      <w:pPr>
        <w:pStyle w:val="ListBullet"/>
      </w:pPr>
      <w:r>
        <w:t>Verdichtungsprotokolle der Holzner Tiefbau: zeigen Widersprüche zwischen protokolliertem und tatsächlichem Verdichtungsgrad</w:t>
      </w:r>
    </w:p>
    <w:p>
      <w:pPr>
        <w:pStyle w:val="ListBullet"/>
      </w:pPr>
      <w:r>
        <w:t>Bewehrungspläne IBr Eschelmann vs. Bohrkernanalyse: Abweichung dokumentiert</w:t>
      </w:r>
    </w:p>
    <w:p>
      <w:pPr>
        <w:pStyle w:val="Heading3"/>
      </w:pPr>
      <w:r>
        <w:rPr>
          <w:rFonts w:ascii="Times New Roman" w:hAnsi="Times New Roman"/>
        </w:rPr>
        <w:t>Anspruchsgrundlagen gegen Bauer-Hoch</w:t>
      </w:r>
    </w:p>
    <w:p>
      <w:pPr>
        <w:pStyle w:val="ListNumber"/>
      </w:pPr>
      <w:r>
        <w:rPr>
          <w:b/>
        </w:rPr>
        <w:t>Nacherfüllung</w:t>
      </w:r>
      <w:r>
        <w:t xml:space="preserve"> (§ 13 Abs. 5 Nr. 1 VOB/B): Beseitigung der Mängel; Fristsetzung erforderlich</w:t>
      </w:r>
    </w:p>
    <w:p>
      <w:pPr>
        <w:pStyle w:val="ListNumber"/>
      </w:pPr>
      <w:r>
        <w:rPr>
          <w:b/>
        </w:rPr>
        <w:t>Selbstvornahme + Kostenerstattung</w:t>
      </w:r>
      <w:r>
        <w:t xml:space="preserve"> (§ 13 Abs. 5 Nr. 2 VOB/B): nach Fristablauf ohne Erfolg</w:t>
      </w:r>
    </w:p>
    <w:p>
      <w:pPr>
        <w:pStyle w:val="ListNumber"/>
      </w:pPr>
      <w:r>
        <w:rPr>
          <w:b/>
        </w:rPr>
        <w:t>Minderung</w:t>
      </w:r>
      <w:r>
        <w:t xml:space="preserve"> (§ 13 Abs. 6 VOB/B): alternativ bei unerheblichen Mängeln (hier nicht maßgeblich, da erhebliche Mängel)</w:t>
      </w:r>
    </w:p>
    <w:p>
      <w:pPr>
        <w:pStyle w:val="ListNumber"/>
      </w:pPr>
      <w:r>
        <w:rPr>
          <w:b/>
        </w:rPr>
        <w:t>Schadensersatz</w:t>
      </w:r>
      <w:r>
        <w:t xml:space="preserve"> (§ 13 Abs. 7 VOB/B): bei verschuldetem Mangel; Verschulden ist bei der festgestellten Abweichung von Verdichtungsvorschriften naheliegend</w:t>
      </w:r>
    </w:p>
    <w:p>
      <w:pPr>
        <w:pStyle w:val="ListNumber"/>
      </w:pPr>
      <w:r>
        <w:rPr>
          <w:b/>
        </w:rPr>
        <w:t>Gewährleistungsbürgschaft:</w:t>
      </w:r>
      <w:r>
        <w:t xml:space="preserve"> Im GU-Vertrag vereinbarte Gewährleistungsbürgschaft i.H.v. 5 % des Pauschalpreises = 214.000 EUR (gestellt durch Volksbank Traunstein)</w:t>
      </w:r>
    </w:p>
    <w:p>
      <w:pPr>
        <w:pStyle w:val="Heading3"/>
      </w:pPr>
      <w:r>
        <w:rPr>
          <w:rFonts w:ascii="Times New Roman" w:hAnsi="Times New Roman"/>
        </w:rPr>
        <w:t>Verjährung</w:t>
      </w:r>
    </w:p>
    <w:p>
      <w:pPr>
        <w:jc w:val="left"/>
      </w:pPr>
      <w:r>
        <w:t>Die VOB/B-Gewährleistungsfrist beträgt gemäß § 13 Abs. 4 Nr. 1 VOB/B 4 Jahre für Bauwerke. Die Abnahme ist noch nicht erklärt (Abnahme wird verweigert). Die 4-Jahresfrist beginnt erst mit Abnahme zu laufen (§ 12 VOB/B). Mängel vor Abnahme können nach §§ 4 Abs. 7, 8 Abs. 3 VOB/B verfolgt werden.</w:t>
      </w:r>
    </w:p>
    <w:p/>
    <w:p>
      <w:pPr>
        <w:pStyle w:val="Heading2"/>
      </w:pPr>
      <w:r>
        <w:rPr>
          <w:rFonts w:ascii="Times New Roman" w:hAnsi="Times New Roman"/>
        </w:rPr>
        <w:t>D. Schadensschätzung (vorläufig)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Kostenschätzung netto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Rissanalyse + Endoskopie Heizleitung (SV)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Injektionsverpressung Bodenplatte (14 Risse)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28.000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Neuverlegung Heizkreis 3 (Estrichabriss + Neuaufbau)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85.000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Abdichtungssanierung Schächte S3 + S7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18.500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Nutzungsausfall Metallwerkstatt (11 Wochen, Mietäquivalent)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22.000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 (vorläufig)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ca. 165.500 EUR</w:t>
            </w:r>
          </w:p>
        </w:tc>
      </w:tr>
    </w:tbl>
    <w:p>
      <w:pPr>
        <w:jc w:val="left"/>
      </w:pPr>
      <w:r>
        <w:t>Diese Schätzung basiert auf Riedhofs Kostenschätzung (Entwurf 14.03.2026) und ist als vorläufig zu behandeln; das gerichtliche Gutachten wird präzisieren.</w:t>
      </w:r>
    </w:p>
    <w:p>
      <w:pPr>
        <w:jc w:val="left"/>
      </w:pPr>
      <w:r>
        <w:rPr>
          <w:i/>
        </w:rPr>
        <w:t>Bearbeiterin: RAin Dr. Henriette Niedermair, Stand 22.03.2026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