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Kontaminierter Baugrund: BBodSchG, Sanierungsanordnung und Kostentragung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t>Bezug: Sanierungsanordnung LRA Rosenheim, Az. 33-Bo-2026-117 vom 12.02.2026</w:t>
      </w:r>
    </w:p>
    <w:p/>
    <w:p>
      <w:pPr>
        <w:pStyle w:val="Heading2"/>
      </w:pPr>
      <w:r>
        <w:rPr>
          <w:rFonts w:ascii="Times New Roman" w:hAnsi="Times New Roman"/>
        </w:rPr>
        <w:t>A. Sachverhalt Bodenfund</w:t>
      </w:r>
    </w:p>
    <w:p>
      <w:pPr>
        <w:pStyle w:val="Heading3"/>
      </w:pPr>
      <w:r>
        <w:rPr>
          <w:rFonts w:ascii="Times New Roman" w:hAnsi="Times New Roman"/>
        </w:rPr>
        <w:t>Entdeckung am 28. Januar 2026</w:t>
      </w:r>
    </w:p>
    <w:p>
      <w:pPr>
        <w:jc w:val="left"/>
      </w:pPr>
      <w:r>
        <w:t>Am 28. Januar 2026, ca. 09:40 Uhr, stießen Mitarbeiter der Holzner Tiefbau KG beim Aushub für die Lagerhalle (Baukörper 3) auf verfärbten Boden mit auffälligem Geruch. Bauleiter Klaus Wieshammer (Bauer-Hoch) ließ den Aushub sofort einstellen und verständigte die Bauleitung Maierhoffer + Streibl sowie das Umweltamt des Landratsamts Rosenheim.</w:t>
      </w:r>
    </w:p>
    <w:p>
      <w:pPr>
        <w:jc w:val="left"/>
      </w:pPr>
      <w:r>
        <w:t>Das Umweltamt beauftragte noch am selben Tag das Labor BayBoden GmbH, Bachhuber, München, mit einer Erstbeprobung. Folgende Ergebnisse lagen am 04. Februar 2026 vor (Prüfbericht BayBoden Az. 2026-RO-0214):</w:t>
      </w:r>
    </w:p>
    <w:p>
      <w:pPr>
        <w:pStyle w:val="Heading3"/>
      </w:pPr>
      <w:r>
        <w:rPr>
          <w:rFonts w:ascii="Times New Roman" w:hAnsi="Times New Roman"/>
        </w:rPr>
        <w:t>Analyseergebnisse Bodenprobung (Beprobungstiefe 0,5–2,5 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Messwert (Mittel)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Maßnahmenwert BBodSchV Anh. 2 Tab. 1 (Gewerbe)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Überschreitung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Cyanid, gesamt (CN⁻)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5,7-fach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Kupfer (Cu)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3,1-fach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Nickel (Ni)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2,1-fach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Zink (Zn)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3.620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3,6-fach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PAK (Benzo[a]pyren äquiv.)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18,4-fach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Mineralölkohlenwasserstoffe (MKW)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mg/kg 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10,5-fach</w:t>
            </w:r>
          </w:p>
        </w:tc>
      </w:tr>
    </w:tbl>
    <w:p>
      <w:pPr>
        <w:jc w:val="left"/>
      </w:pPr>
      <w:r>
        <w:t>Alle Werte beziehen sich auf Trockenmasse (TS). Die Maßnahmenwerte beziehen sich auf Nutzungstyp „Gewerbe/Industrie" gemäß BBodSchV Anhang 2, Tabelle 1 (Wohnnutzung wäre strenger).</w:t>
      </w:r>
    </w:p>
    <w:p>
      <w:pPr>
        <w:jc w:val="left"/>
      </w:pPr>
      <w:r>
        <w:rPr>
          <w:b/>
        </w:rPr>
        <w:t>Kontaminationsvolumen (Erstschätzung BayBoden):</w:t>
      </w:r>
      <w:r>
        <w:t xml:space="preserve"> ca. 1.800–2.400 m³ belastetes Bodenmaterial; Aushub bis max. 3,5 m Tiefe notwendig; Schadstofffahne nicht vollständig erfasst (weiteres Monitoring erforderlich).</w:t>
      </w:r>
    </w:p>
    <w:p/>
    <w:p>
      <w:pPr>
        <w:pStyle w:val="Heading2"/>
      </w:pPr>
      <w:r>
        <w:rPr>
          <w:rFonts w:ascii="Times New Roman" w:hAnsi="Times New Roman"/>
        </w:rPr>
        <w:t>B. Sanierungsanordnung LRA Rosenheim Az. 33-Bo-2026-117</w:t>
      </w:r>
    </w:p>
    <w:p>
      <w:pPr>
        <w:jc w:val="left"/>
      </w:pPr>
      <w:r>
        <w:t xml:space="preserve">Das Landratsamt Rosenheim, Umweltamt, erließ am 12. Februar 2026 eine </w:t>
      </w:r>
      <w:r>
        <w:rPr>
          <w:b/>
        </w:rPr>
        <w:t>Sanierungsanordnung</w:t>
      </w:r>
      <w:r>
        <w:t xml:space="preserve"> gemäß §§ 9 Abs. 2, 10 Abs. 1 BBodSchG:</w:t>
      </w:r>
    </w:p>
    <w:p>
      <w:pPr>
        <w:jc w:val="left"/>
      </w:pPr>
      <w:r>
        <w:rPr>
          <w:b/>
        </w:rPr>
        <w:t>Tenor:</w:t>
      </w:r>
    </w:p>
    <w:p>
      <w:pPr>
        <w:pStyle w:val="ListNumber"/>
      </w:pPr>
      <w:r>
        <w:t>Die Saalbau Wendelstein gGmbH wird verpflichtet, unverzüglich mit der Detailuntersuchung (DU) gemäß § 2 Nr. 4 BBodSchV zu beginnen und das Ergebnis binnen 8 Wochen (Frist: 09. April 2026) vorzulegen.</w:t>
      </w:r>
    </w:p>
    <w:p>
      <w:pPr>
        <w:pStyle w:val="ListNumber"/>
      </w:pPr>
      <w:r>
        <w:t>Es wird angeordnet, dass der Aushubbereich Lagerhalle (Baukörper 3) gesichert bleibt und kein weiterer Erdaushub ohne behördliche Zustimmung vorgenommen wird.</w:t>
      </w:r>
    </w:p>
    <w:p>
      <w:pPr>
        <w:pStyle w:val="ListNumber"/>
      </w:pPr>
      <w:r>
        <w:t>Ein Sanierungsplan gemäß § 13 BBodSchG ist nach Vorliegen der DU innerhalb weiterer 10 Wochen einzureichen.</w:t>
      </w:r>
    </w:p>
    <w:p>
      <w:pPr>
        <w:pStyle w:val="ListNumber"/>
      </w:pPr>
      <w:r>
        <w:t>Die Kosten der Sanierung trägt zunächst der Zustandsverantwortliche (Saalbau Wendelstein gGmbH als Erbbauberechtigte).</w:t>
      </w:r>
    </w:p>
    <w:p>
      <w:pPr>
        <w:jc w:val="left"/>
      </w:pPr>
      <w:r>
        <w:rPr>
          <w:b/>
        </w:rPr>
        <w:t>Rechtsgrundlage:</w:t>
      </w:r>
      <w:r>
        <w:t xml:space="preserve"> §§ 4 Abs. 3, 9 Abs. 2, 10 Abs. 1 BBodSchG i.V.m. Art. 7 ff. BayBodSchG.</w:t>
      </w:r>
    </w:p>
    <w:p>
      <w:pPr>
        <w:jc w:val="left"/>
      </w:pPr>
      <w:r>
        <w:rPr>
          <w:b/>
        </w:rPr>
        <w:t>Status:</w:t>
      </w:r>
      <w:r>
        <w:t xml:space="preserve"> Detailuntersuchung wurde durch Büro GEOplus GmbH, Rosenheim, eingeleitet (Beauftragung 18.03.2026). Ergebnis steht aus.</w:t>
      </w:r>
    </w:p>
    <w:p/>
    <w:p>
      <w:pPr>
        <w:pStyle w:val="Heading2"/>
      </w:pPr>
      <w:r>
        <w:rPr>
          <w:rFonts w:ascii="Times New Roman" w:hAnsi="Times New Roman"/>
        </w:rPr>
        <w:t>C. Rechtliche Analyse: Wer trägt die Kosten?</w:t>
      </w:r>
    </w:p>
    <w:p>
      <w:pPr>
        <w:pStyle w:val="Heading3"/>
      </w:pPr>
      <w:r>
        <w:rPr>
          <w:rFonts w:ascii="Times New Roman" w:hAnsi="Times New Roman"/>
        </w:rPr>
        <w:t>C.1 Öffentlich-rechtliche Ebene: Verantwortlichkeit nach BBodSchG</w:t>
      </w:r>
    </w:p>
    <w:p>
      <w:pPr>
        <w:jc w:val="left"/>
      </w:pPr>
      <w:r>
        <w:t>Das BBodSchG kennt mehrere Verpflichtungsadressaten (§ 4 Abs. 3 BBodSchG):</w:t>
      </w:r>
    </w:p>
    <w:p>
      <w:pPr>
        <w:pStyle w:val="ListBullet"/>
      </w:pPr>
      <w:r>
        <w:rPr>
          <w:b/>
        </w:rPr>
        <w:t>Verursacher</w:t>
      </w:r>
      <w:r>
        <w:t xml:space="preserve"> der Verunreinigung</w:t>
      </w:r>
    </w:p>
    <w:p>
      <w:pPr>
        <w:pStyle w:val="ListBullet"/>
      </w:pPr>
      <w:r>
        <w:rPr>
          <w:b/>
        </w:rPr>
        <w:t>Rechtsnachfolger</w:t>
      </w:r>
      <w:r>
        <w:t xml:space="preserve"> des Verursachers</w:t>
      </w:r>
    </w:p>
    <w:p>
      <w:pPr>
        <w:pStyle w:val="ListBullet"/>
      </w:pPr>
      <w:r>
        <w:rPr>
          <w:b/>
        </w:rPr>
        <w:t>Grundstückseigentümer</w:t>
      </w:r>
      <w:r>
        <w:t xml:space="preserve"> und </w:t>
      </w:r>
      <w:r>
        <w:rPr>
          <w:b/>
        </w:rPr>
        <w:t>Inhaber der tatsächlichen Sachherrschaft</w:t>
      </w:r>
      <w:r>
        <w:t xml:space="preserve"> (Zustandsverantwortliche)</w:t>
      </w:r>
    </w:p>
    <w:p>
      <w:pPr>
        <w:jc w:val="left"/>
      </w:pPr>
      <w:r>
        <w:t xml:space="preserve">Die Drahtspinnerei Steinhauser war Verursacherin. Deren Rechtsnachfolge ist nicht vollständig aufgeklärt; Gesellschaft vermutlich liquidiiert. Der aktuelle </w:t>
      </w:r>
      <w:r>
        <w:rPr>
          <w:b/>
        </w:rPr>
        <w:t>Grundstückseigentümer ist die Stadt Rosenheim</w:t>
      </w:r>
      <w:r>
        <w:t xml:space="preserve"> (Erbbaurecht-Ausgeber). Der </w:t>
      </w:r>
      <w:r>
        <w:rPr>
          <w:b/>
        </w:rPr>
        <w:t>Erbbauberechtigte</w:t>
      </w:r>
      <w:r>
        <w:t xml:space="preserve"> (Saalbau Wendelstein gGmbH) ist als Inhaber der tatsächlichen Sachherrschaft Zustandsverantwortlicher im Sinne des BBodSchG.</w:t>
      </w:r>
    </w:p>
    <w:p>
      <w:pPr>
        <w:jc w:val="left"/>
      </w:pPr>
      <w:r>
        <w:t>Die Sanierungsanordnung richtet sich zunächst an die Saalbau Wendelstein gGmbH — rechtlich korrekt als Zustandsverantwortliche. Die gGmbH hat jedoch Regressansprüche gegen:</w:t>
      </w:r>
    </w:p>
    <w:p>
      <w:pPr>
        <w:pStyle w:val="ListNumber"/>
      </w:pPr>
      <w:r>
        <w:rPr>
          <w:b/>
        </w:rPr>
        <w:t>Stadt Rosenheim</w:t>
      </w:r>
      <w:r>
        <w:t xml:space="preserve"> als Eigentümerin (Sonderverantwortliche, ggf. auch Rechtsnachfolgerin des Verursachers über kommunale Grundstücksverwaltung)</w:t>
      </w:r>
    </w:p>
    <w:p>
      <w:pPr>
        <w:pStyle w:val="ListNumber"/>
      </w:pPr>
      <w:r>
        <w:rPr>
          <w:b/>
        </w:rPr>
        <w:t>Bauer-Hoch GmbH &amp; Co. KG</w:t>
      </w:r>
      <w:r>
        <w:t>, soweit die Kontamination durch fehlerhafte Erdarbeiten verschlechtert wurde</w:t>
      </w:r>
    </w:p>
    <w:p>
      <w:pPr>
        <w:pStyle w:val="Heading3"/>
      </w:pPr>
      <w:r>
        <w:rPr>
          <w:rFonts w:ascii="Times New Roman" w:hAnsi="Times New Roman"/>
        </w:rPr>
        <w:t>C.2 Privatrechtliche Ebene: GU-Vertrag</w:t>
      </w:r>
    </w:p>
    <w:p>
      <w:pPr>
        <w:jc w:val="left"/>
      </w:pPr>
      <w:r>
        <w:t>Im GU-Vertrag vom 12. Juli 2023 findet sich in § 7 (Baugrundrisiko) folgende Klausel:</w:t>
      </w:r>
    </w:p>
    <w:p>
      <w:pPr>
        <w:ind w:left="567"/>
      </w:pPr>
      <w:r>
        <w:rPr>
          <w:i/>
        </w:rPr>
        <w:t>„§ 7.1: Das Risiko des Baugrundes trägt die Bauherrin, soweit es sich nicht um Mängel handelt, die der Auftragnehmer erkennen musste und angezeigt hätte anzeigen müssen."</w:t>
      </w:r>
    </w:p>
    <w:p>
      <w:pPr>
        <w:ind w:left="567"/>
      </w:pPr>
    </w:p>
    <w:p>
      <w:pPr>
        <w:ind w:left="567"/>
      </w:pPr>
      <w:r>
        <w:rPr>
          <w:i/>
        </w:rPr>
        <w:t>„§ 7.2: Der Auftragnehmer ist verpflichtet, bei Auffinden unerwarteter Hindernisse im Untergrund unverzüglich die Bauherrin zu unterrichten (§ 4 Abs. 3 VOB/B)."</w:t>
      </w:r>
    </w:p>
    <w:p>
      <w:pPr>
        <w:jc w:val="left"/>
      </w:pPr>
      <w:r>
        <w:t>Diese Klausel überträgt das Baugrundrisiko grundsätzlich auf die Bauherrin. Dies entspricht der VOB/B-Systematik: § 13 Abs. 4 Satz 2 VOB/B stellt klar, dass der Auftragnehmer für unvorhersehbare Bodenanforderungen nicht haftet.</w:t>
      </w:r>
    </w:p>
    <w:p>
      <w:pPr>
        <w:jc w:val="left"/>
      </w:pPr>
      <w:r>
        <w:rPr>
          <w:b/>
        </w:rPr>
        <w:t>Aber:</w:t>
      </w:r>
      <w:r>
        <w:t xml:space="preserve"> Die Sanierungskosten sind nicht mit den Baugrundrisiken identisch. Das Baugrundrisiko nach § 7 GU-Vertrag erfasst die Anpassung der Bauausführung an widrige Bodenverhältnisse (z.B. Mehrkosten für Tieferaushub, Verbaumaßnahmen). Die </w:t>
      </w:r>
      <w:r>
        <w:rPr>
          <w:b/>
        </w:rPr>
        <w:t>öffentlich-rechtlichen Sanierungskosten</w:t>
      </w:r>
      <w:r>
        <w:t xml:space="preserve"> nach BBodSchG sind ein davon zu unterscheidender Kostenblock.</w:t>
      </w:r>
    </w:p>
    <w:p>
      <w:pPr>
        <w:jc w:val="left"/>
      </w:pPr>
      <w:r>
        <w:rPr>
          <w:b/>
        </w:rPr>
        <w:t>Haftung Bauer-Hoch für Sanierungskosten:</w:t>
      </w:r>
    </w:p>
    <w:p>
      <w:pPr>
        <w:jc w:val="left"/>
      </w:pPr>
      <w:r>
        <w:t>Bauer-Hoch kann für Sanierungskosten haften, soweit der GU die Kontamination durch seine Erdarbeiten ausgebreitet hat (z.B. Vermischung mit unbelastetem Material, fehlerhafte Lagerung von Aushubmaterial). Dies ist noch zu klären.</w:t>
      </w:r>
    </w:p>
    <w:p>
      <w:pPr>
        <w:pStyle w:val="Heading3"/>
      </w:pPr>
      <w:r>
        <w:rPr>
          <w:rFonts w:ascii="Times New Roman" w:hAnsi="Times New Roman"/>
        </w:rPr>
        <w:t>C.3 Verhältnis zur Stadt Rosenheim</w:t>
      </w:r>
    </w:p>
    <w:p>
      <w:pPr>
        <w:jc w:val="left"/>
      </w:pPr>
      <w:r>
        <w:t>Der Erbbaurechtsvergabevertrag vom 14. März 2022 enthält in § 4 eine Beschaffenheitszusicherung der Stadt Rosenheim: Das Grundstück weise nach derzeit vorliegenden Erkenntnissen keine Sanierungsfalleinträge nach BBodSchG auf.</w:t>
      </w:r>
    </w:p>
    <w:p>
      <w:pPr>
        <w:jc w:val="left"/>
      </w:pPr>
      <w:r>
        <w:t>Die Frage ist, ob die Stadt Rosenheim:</w:t>
      </w:r>
    </w:p>
    <w:p>
      <w:pPr>
        <w:pStyle w:val="ListBullet"/>
      </w:pPr>
      <w:r>
        <w:rPr>
          <w:b/>
        </w:rPr>
        <w:t>Positive Kenntnis</w:t>
      </w:r>
      <w:r>
        <w:t xml:space="preserve"> von der Kontamination hatte (dann: arglistige Täuschung, § 444 BGB analog)</w:t>
      </w:r>
    </w:p>
    <w:p>
      <w:pPr>
        <w:pStyle w:val="ListBullet"/>
      </w:pPr>
      <w:r>
        <w:rPr>
          <w:b/>
        </w:rPr>
        <w:t>Fahrlässige Unkenntnis</w:t>
      </w:r>
      <w:r>
        <w:t xml:space="preserve"> hatte (dann: Haftung nach § 434 BGB — vereinbarte Beschaffenheit nicht vorhanden)</w:t>
      </w:r>
    </w:p>
    <w:p>
      <w:pPr>
        <w:pStyle w:val="ListBullet"/>
      </w:pPr>
      <w:r>
        <w:t>Tatsächlich keine Kenntnis hatte und die Beschaffenheitszusage gutgläubig abgab</w:t>
      </w:r>
    </w:p>
    <w:p>
      <w:pPr>
        <w:jc w:val="left"/>
      </w:pPr>
      <w:r>
        <w:t>Laut Altlastenkataster des Landkreises war das Grundstück als Altlastenverdachtsfläche Kat. B eingetragen. Dieser Eintrag war der Stadt bekannt (Liegenschaftsamt, interne Unterlagen). Im Vertrag wurde jedoch nur erklärt, es liege kein „Sanierungsfall" vor — was technisch stimmt (Kat. B = Verdacht, kein Sanierungsfall). Dies könnte als arglistige Täuschung durch Verschweigen bewertungsrelevanter Umstände gewertet werden.</w:t>
      </w:r>
    </w:p>
    <w:p>
      <w:pPr>
        <w:pStyle w:val="Heading3"/>
      </w:pPr>
      <w:r>
        <w:rPr>
          <w:rFonts w:ascii="Times New Roman" w:hAnsi="Times New Roman"/>
        </w:rPr>
        <w:t>C.4 Kostenprognose Sanierung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Kostenblock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Detailuntersuchung (DU), GEOplus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Sanierungsplanung (§ 13 BBodSchG)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Bodenaushub belastetes Material (1.800–2.400 m³)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380.000–520.000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Entsorgung Sonderabfall (Deponiekosten Klasse 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180.000–240.000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Verfüllung und Verdichtung Neuauffüllung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Grundwassermonitoring (3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Sanierungsdokumentation, behördliche Abnahme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(Bandbreite)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751.000–951.000 EUR</w:t>
            </w:r>
          </w:p>
        </w:tc>
      </w:tr>
    </w:tbl>
    <w:p>
      <w:pPr>
        <w:jc w:val="left"/>
      </w:pPr>
      <w:r>
        <w:t>Diese Kosten sind zunächst von der Saalbau Wendelstein gGmbH vorzufinanzieren; Rückgriffsansprüche gegen Stadt Rosenheim und ggf. Bauer-Hoch werden parallel verfolgt.</w:t>
      </w:r>
    </w:p>
    <w:p/>
    <w:p>
      <w:pPr>
        <w:pStyle w:val="Heading2"/>
      </w:pPr>
      <w:r>
        <w:rPr>
          <w:rFonts w:ascii="Times New Roman" w:hAnsi="Times New Roman"/>
        </w:rPr>
        <w:t>D. Strategie</w:t>
      </w:r>
    </w:p>
    <w:p>
      <w:pPr>
        <w:pStyle w:val="ListNumber"/>
      </w:pPr>
      <w:r>
        <w:rPr>
          <w:b/>
        </w:rPr>
        <w:t>Widerspruch gegen Sanierungsanordnung</w:t>
      </w:r>
      <w:r>
        <w:t xml:space="preserve"> (form- und fristgerecht): prüfen, ob die Adressierung allein an die gGmbH korrekt ist; ggf. Beteiligungserzwingung der Stadt Rosenheim als Grundstückseigentümerin beantragen</w:t>
      </w:r>
    </w:p>
    <w:p>
      <w:pPr>
        <w:pStyle w:val="ListNumber"/>
      </w:pPr>
      <w:r>
        <w:rPr>
          <w:b/>
        </w:rPr>
        <w:t>Schadensersatzklage gegen Stadt Rosenheim</w:t>
      </w:r>
      <w:r>
        <w:t xml:space="preserve"> aus §§ 434, 280 BGB (Beschaffenheitsmängel, evtl. c.i.c.) — getrennte Klage, da Stadt nicht Partei im LG-Traunstein-Verfahren</w:t>
      </w:r>
    </w:p>
    <w:p>
      <w:pPr>
        <w:pStyle w:val="ListNumber"/>
      </w:pPr>
      <w:r>
        <w:rPr>
          <w:b/>
        </w:rPr>
        <w:t>Kosten im Hauptsacheverfahren</w:t>
      </w:r>
      <w:r>
        <w:t xml:space="preserve"> geltend machen: als Schadensposten im Zuge der VOB-Mängelstreitigkeit nicht ohne weiteres; separate Berechnung erforderlich</w:t>
      </w:r>
    </w:p>
    <w:p>
      <w:pPr>
        <w:pStyle w:val="ListNumber"/>
      </w:pPr>
      <w:r>
        <w:rPr>
          <w:b/>
        </w:rPr>
        <w:t>Sicherung der Beweise</w:t>
      </w:r>
      <w:r>
        <w:t xml:space="preserve"> (Bohrproben, Bodenprobenalysen) im selbstständigen Beweisverfahren Az. 2 OH 7/26</w:t>
      </w:r>
    </w:p>
    <w:p>
      <w:pPr>
        <w:jc w:val="left"/>
      </w:pPr>
      <w:r>
        <w:rPr>
          <w:i/>
        </w:rPr>
        <w:t>Bearbeiterin: RAin Dr. Henriette Niedermair, Stand 05.05.2026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