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HOAI-Honorarstreit: Maierhoffer + Streibl Architekten BDA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t>Bezug: Honorarrechnung Maierhoffer + Streibl Nr. 2026-047 vom 02.03.2026</w:t>
      </w:r>
    </w:p>
    <w:p/>
    <w:p>
      <w:pPr>
        <w:pStyle w:val="Heading2"/>
      </w:pPr>
      <w:r>
        <w:rPr>
          <w:rFonts w:ascii="Times New Roman" w:hAnsi="Times New Roman"/>
        </w:rPr>
        <w:t>A. Ausgangslage</w:t>
      </w:r>
    </w:p>
    <w:p>
      <w:pPr>
        <w:jc w:val="left"/>
      </w:pPr>
      <w:r>
        <w:t xml:space="preserve">Die Architektenpartnerschaft Maierhoffer + Streibl hat am 02. März 2026 eine </w:t>
      </w:r>
      <w:r>
        <w:rPr>
          <w:b/>
        </w:rPr>
        <w:t>Schlussrechnung</w:t>
      </w:r>
      <w:r>
        <w:t xml:space="preserve"> für die Leistungsphasen 1–8 (LPh 9 noch nicht abgeschlossen) i.H.v. </w:t>
      </w:r>
      <w:r>
        <w:rPr>
          <w:b/>
        </w:rPr>
        <w:t>476.280 EUR netto</w:t>
      </w:r>
      <w:r>
        <w:t xml:space="preserve"> gestellt. Nach Abzug bereits gezahlter 380.000 EUR ergibt sich eine Forderung von </w:t>
      </w:r>
      <w:r>
        <w:rPr>
          <w:b/>
        </w:rPr>
        <w:t>96.280 EUR netto</w:t>
      </w:r>
      <w:r>
        <w:t xml:space="preserve"> (= 114.573 EUR brutto).</w:t>
      </w:r>
    </w:p>
    <w:p>
      <w:pPr>
        <w:jc w:val="left"/>
      </w:pPr>
      <w:r>
        <w:t>Die Saalbau Wendelstein gGmbH hält die Forderung für überhöht und hat mit Schreiben vom 18. März 2026 erklärt, nicht mehr als 32.000 EUR netto nachzuzahlen. Wesentlicher Streitpunkt: die Berechnung des Honorars nach HOAI-Tabellenwerten statt nach dem vereinbarten Pauschalhonorar.</w:t>
      </w:r>
    </w:p>
    <w:p/>
    <w:p>
      <w:pPr>
        <w:pStyle w:val="Heading2"/>
      </w:pPr>
      <w:r>
        <w:rPr>
          <w:rFonts w:ascii="Times New Roman" w:hAnsi="Times New Roman"/>
        </w:rPr>
        <w:t>B. Vertragsinhalt — Architektenvertrag 05.04.2023</w:t>
      </w:r>
    </w:p>
    <w:p>
      <w:pPr>
        <w:jc w:val="left"/>
      </w:pPr>
      <w:r>
        <w:t>Der Architektenvertrag enthält in § 6 folgende Honorarregelung:</w:t>
      </w:r>
    </w:p>
    <w:p>
      <w:pPr>
        <w:ind w:left="567"/>
      </w:pPr>
      <w:r>
        <w:rPr>
          <w:b/>
          <w:i/>
        </w:rPr>
        <w:t>§ 6.1 Vergütung:</w:t>
      </w:r>
    </w:p>
    <w:p>
      <w:pPr>
        <w:ind w:left="567"/>
      </w:pPr>
      <w:r>
        <w:rPr>
          <w:i/>
        </w:rPr>
        <w:t>„Die Vergütung der Architektenleistungen beträgt pauschal 485.000,00 EUR netto für die Leistungsphasen 1–9 gemäß § 34 HOAI 2021, Honorarzone III. Mit dieser Pauschale sind alle in den Leistungsphasen 1–9 anfallenden Grundleistungen und die nachfolgend genannten Besonderen Leistungen abgegolten."</w:t>
      </w:r>
    </w:p>
    <w:p>
      <w:pPr>
        <w:ind w:left="567"/>
      </w:pPr>
      <w:r>
        <w:rPr>
          <w:b/>
          <w:i/>
        </w:rPr>
        <w:t>§ 6.2 Anpassungsklausel:</w:t>
      </w:r>
    </w:p>
    <w:p>
      <w:pPr>
        <w:ind w:left="567"/>
      </w:pPr>
      <w:r>
        <w:rPr>
          <w:i/>
        </w:rPr>
        <w:t>„Sollten die anrechenbaren Kosten gemäß § 36 HOAI 2021 um mehr als 10 % von den der Honorarvereinbarung zugrunde liegenden Kostenschätzung abweichen, wird das Honorar entsprechend angepasst (nach oben oder unten). Maßgeblich ist die Kostenberechnung nach DIN 276."</w:t>
      </w:r>
    </w:p>
    <w:p>
      <w:pPr>
        <w:ind w:left="567"/>
      </w:pPr>
      <w:r>
        <w:rPr>
          <w:b/>
          <w:i/>
        </w:rPr>
        <w:t>§ 6.3 Mindestsätze:</w:t>
      </w:r>
    </w:p>
    <w:p>
      <w:pPr>
        <w:ind w:left="567"/>
      </w:pPr>
      <w:r>
        <w:rPr>
          <w:i/>
        </w:rPr>
        <w:t>„Eine Unterschreitung der Mindestsätze der HOAI gilt als nicht vereinbart; eine Überschreitung der Höchstsätze gilt als nicht vereinbart."</w:t>
      </w:r>
    </w:p>
    <w:p/>
    <w:p>
      <w:pPr>
        <w:pStyle w:val="Heading2"/>
      </w:pPr>
      <w:r>
        <w:rPr>
          <w:rFonts w:ascii="Times New Roman" w:hAnsi="Times New Roman"/>
        </w:rPr>
        <w:t>C. Rechtliche Analyse</w:t>
      </w:r>
    </w:p>
    <w:p>
      <w:pPr>
        <w:pStyle w:val="Heading3"/>
      </w:pPr>
      <w:r>
        <w:rPr>
          <w:rFonts w:ascii="Times New Roman" w:hAnsi="Times New Roman"/>
        </w:rPr>
        <w:t>C.1 Die EuGH-Entscheidung und ihre Folgen</w:t>
      </w:r>
    </w:p>
    <w:p>
      <w:pPr>
        <w:jc w:val="left"/>
      </w:pPr>
      <w:r>
        <w:t>Am 4. Juli 2019 hat der EuGH (Urt. C-377/17 — Kommission/Deutschland) entschieden, dass die verbindlichen Mindest- und Höchstsätze der HOAI mit der Dienstleistungsrichtlinie (RL 2006/123/EG) unvereinbar sind. Daraufhin hat Deutschland die HOAI 2021 angepasst: Die Mindestsatz-Bindung wurde für sämtliche nach dem 18. Juli 2019 geschlossene Verträge aufgehoben.</w:t>
      </w:r>
    </w:p>
    <w:p>
      <w:pPr>
        <w:jc w:val="left"/>
      </w:pPr>
      <w:r>
        <w:t>Gemäß BGH, Urt. v. 02.06.2022 – VII ZR 174/19 (BauR 2022, 1596): Eine nachträgliche Aufstockungsklage auf HOAI-Mindestsätze ist für Altverträge (vor dem 18.07.2019) nicht möglich; für Neuverträge (nach dem 18.07.2019) haben die HOAI-Mindestsätze keine Verbindlichkeit mehr.</w:t>
      </w:r>
    </w:p>
    <w:p>
      <w:pPr>
        <w:jc w:val="left"/>
      </w:pPr>
      <w:r>
        <w:t xml:space="preserve">Der hier in Rede stehende Architektenvertrag wurde am 05.04.2023 geschlossen — also nach dem Stichtag. Die HOAI-Mindestsätze sind damit für diesen Vertrag </w:t>
      </w:r>
      <w:r>
        <w:rPr>
          <w:b/>
        </w:rPr>
        <w:t>nicht bindend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C.2 Inhalt der Honorarrechnung Maierhoffer + Streibl</w:t>
      </w:r>
    </w:p>
    <w:p>
      <w:pPr>
        <w:jc w:val="left"/>
      </w:pPr>
      <w:r>
        <w:t>In ihrer Schlussrechnung vom 02.03.2026 berechnet die Architektenpartnerschaft das Honorar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LPh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Honoraranteil % (§ 34 HOAI)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nach Tabelle (HOAI 2021 Tabellenmitten, HZ III)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Fertigstellungsgrad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Grundlagenermittlung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12.840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Vorplanung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44.940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Entwurfsplanung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96.300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Genehmigungsplanung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19.260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Ausführungsplanung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160.500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Vorbereitung Vergabe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64.200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Mitwirkung Vergabe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25.680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Objektüberwachung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32 %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205.440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85 % (lfd.)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LPh 1–7 + 8 (85 %)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546.774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t>Zugrunde gelegter Tabellenwert (HZ III): anrechenbare Kosten nach DIN 276 (Kostengruppen 200–700): 6.420.000 EUR (Maierhoffer rechnet Baukosten einschließlich Kontaminierungsfolgekosten ein).</w:t>
      </w:r>
    </w:p>
    <w:p>
      <w:pPr>
        <w:jc w:val="left"/>
      </w:pPr>
      <w:r>
        <w:rPr>
          <w:b/>
        </w:rPr>
        <w:t>Differenz zur Pauschale 485.000 EUR:</w:t>
      </w:r>
      <w:r>
        <w:t xml:space="preserve"> 546.774 − 485.000 = </w:t>
      </w:r>
      <w:r>
        <w:rPr>
          <w:b/>
        </w:rPr>
        <w:t>61.774 EUR</w:t>
      </w:r>
      <w:r>
        <w:t xml:space="preserve"> Mehrforderung (LPh 1–8 ungekürzt). Nach Maierhoffer ergibt sich mit Anpassungsklausel § 6.2 (anrechenbare Kosten überschritten Schätzung um ca. 18 %) eine Nachforderung von </w:t>
      </w:r>
      <w:r>
        <w:rPr>
          <w:b/>
        </w:rPr>
        <w:t>96.280 EUR</w:t>
      </w:r>
      <w:r>
        <w:t>.</w:t>
      </w:r>
    </w:p>
    <w:p/>
    <w:p>
      <w:pPr>
        <w:pStyle w:val="Heading3"/>
      </w:pPr>
      <w:r>
        <w:rPr>
          <w:rFonts w:ascii="Times New Roman" w:hAnsi="Times New Roman"/>
        </w:rPr>
        <w:t>C.3 Gegenposition der Saalbau Wendelstein gGmbH</w:t>
      </w:r>
    </w:p>
    <w:p>
      <w:pPr>
        <w:jc w:val="left"/>
      </w:pPr>
      <w:r>
        <w:t>Die Mandantin hält entgegen:</w:t>
      </w:r>
    </w:p>
    <w:p>
      <w:pPr>
        <w:pStyle w:val="ListNumber"/>
      </w:pPr>
      <w:r>
        <w:rPr>
          <w:b/>
        </w:rPr>
        <w:t>Pauschalhonorar ist bindend:</w:t>
      </w:r>
      <w:r>
        <w:t xml:space="preserve"> § 6.1 des Vertrags ist eindeutig — Pauschalhonorar 485.000 EUR für LPh 1–9. Eine Abweichung ist nur über die Anpassungsklausel § 6.2 möglich.</w:t>
      </w:r>
    </w:p>
    <w:p>
      <w:pPr>
        <w:pStyle w:val="ListNumber"/>
      </w:pPr>
      <w:r>
        <w:rPr>
          <w:b/>
        </w:rPr>
        <w:t>Anpassungsklausel greift nicht:</w:t>
      </w:r>
      <w:r>
        <w:t xml:space="preserve"> Die Kostenüberschreitung ist auf die Kontaminationsfolgekosten zurückzuführen (Sanierungskosten). Diese sind keine „anrechenbaren Kosten" nach § 4 HOAI 2021 i.V.m. DIN 276, Kostengruppen 200–700. Sanierungskosten sind Sonderkosten außerhalb der HOAI-Berechnung.</w:t>
      </w:r>
    </w:p>
    <w:p>
      <w:pPr>
        <w:pStyle w:val="ListNumber"/>
      </w:pPr>
      <w:r>
        <w:rPr>
          <w:b/>
        </w:rPr>
        <w:t>HOAI-Mindestsätze nicht maßgeblich:</w:t>
      </w:r>
      <w:r>
        <w:t xml:space="preserve"> Selbst wenn die Tabellenwerte als Maßstab herangezogen werden, sind sie für diesen Vertrag (nach dem 18.07.2019) nicht bindend (EuGH C-377/17; BGH BauR 2022, 1596). Es gilt allein die Parteivereinbarung.</w:t>
      </w:r>
    </w:p>
    <w:p>
      <w:pPr>
        <w:pStyle w:val="ListNumber"/>
      </w:pPr>
      <w:r>
        <w:rPr>
          <w:b/>
        </w:rPr>
        <w:t>Mindestsatz-Klausel § 6.3 ist unwirksam:</w:t>
      </w:r>
      <w:r>
        <w:t xml:space="preserve"> Die in § 6.3 des Architektenvertrags enthaltene Klausel, wonach die Unterschreitung der HOAI-Mindestsätze „nicht vereinbart" gilt, ist nach der EuGH-Rechtsprechung für Verträge nach dem 18.07.2019 unwirksam. Die HOAI-Mindestsätze existieren als zwingendes Recht nicht mehr; eine vertragliche Klausel, die sie fingiert, läuft ins Leere.</w:t>
      </w:r>
    </w:p>
    <w:p/>
    <w:p>
      <w:pPr>
        <w:pStyle w:val="Heading3"/>
      </w:pPr>
      <w:r>
        <w:rPr>
          <w:rFonts w:ascii="Times New Roman" w:hAnsi="Times New Roman"/>
        </w:rPr>
        <w:t>C.4 Gesamtbewertung</w:t>
      </w:r>
    </w:p>
    <w:p>
      <w:pPr>
        <w:jc w:val="left"/>
      </w:pPr>
      <w:r>
        <w:t>Die Honorarrechnung von Maierhoffer + Streibl ist in folgendem Umfang berechtigt: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Vertraglich vereinbartes Pauschalhonorar LPh 1–9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bereits gezahlt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380.000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 (berechtigte Restforderung)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fällig LPh 8 (85 % Fertigstellung)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98.400 EUR (Schätzung)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Nachforderung nach § 6.2 Anpassungsklausel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berechtigt (Sanierungskosten nicht anrechenbar)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Empfehlung 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32.000 EUR</w:t>
            </w:r>
            <w:r>
              <w:rPr>
                <w:rFonts w:ascii="Times New Roman" w:hAnsi="Times New Roman"/>
                <w:sz w:val="20"/>
              </w:rPr>
              <w:t xml:space="preserve"> (nach Verhandlung; Gesamtforderung 105.000 EUR abzgl. Mängeleinbehalt für Planungsfehler Bewehrungsdetail)</w:t>
            </w:r>
          </w:p>
        </w:tc>
      </w:tr>
    </w:tbl>
    <w:p>
      <w:pPr>
        <w:jc w:val="left"/>
      </w:pPr>
      <w:r>
        <w:t>Die Kanzlei empfiehlt, die berechtigte Restforderung aus dem Pauschalhonorar (LPh 8 anteilig) zu bezahlen, jedoch die Nachforderung nach § 6.2 und jeden Anspruch nach Tabellenwerten zurückzuweisen. Darüber hinaus prüft die Kanzlei, ob Maierhoffer + Streibl für den Planungsfehler (fehlende Randstabbewehrung laut Bewehrungsdetail Pos. 3.1) mitverantwortlich ist und ob Gegenforderungen (§ 280 BGB, Schadensersatz wegen Planungsmangels) bestehen.</w:t>
      </w:r>
    </w:p>
    <w:p/>
    <w:p>
      <w:pPr>
        <w:pStyle w:val="Heading2"/>
      </w:pPr>
      <w:r>
        <w:rPr>
          <w:rFonts w:ascii="Times New Roman" w:hAnsi="Times New Roman"/>
        </w:rPr>
        <w:t>D. Nächste Schritte</w:t>
      </w:r>
    </w:p>
    <w:p>
      <w:pPr>
        <w:pStyle w:val="ListBullet"/>
      </w:pPr>
      <w:r>
        <w:t>Antwortschreiben an Maierhoffer + Streibl (Einspruch gegen Schlussrechnung)</w:t>
      </w:r>
    </w:p>
    <w:p>
      <w:pPr>
        <w:pStyle w:val="ListBullet"/>
      </w:pPr>
      <w:r>
        <w:t>Prüfung Architektenvertrag auf Fehler in der Ausführungsplanung (Bewehrungsdetail)</w:t>
      </w:r>
    </w:p>
    <w:p>
      <w:pPr>
        <w:pStyle w:val="ListBullet"/>
      </w:pPr>
      <w:r>
        <w:t>Gutachterliche Stellungnahme IBr Dr. Eschelmann zu Planungsverantwortung</w:t>
      </w:r>
    </w:p>
    <w:p>
      <w:pPr>
        <w:pStyle w:val="ListBullet"/>
      </w:pPr>
      <w:r>
        <w:t>Verhandlung oder ggf. Klage (LG München I, Architektenrecht)</w:t>
      </w:r>
    </w:p>
    <w:p>
      <w:pPr>
        <w:jc w:val="left"/>
      </w:pPr>
      <w:r>
        <w:rPr>
          <w:i/>
        </w:rPr>
        <w:t>Bearbeiterin: RAin Dr. Henriette Niedermair, Stand 10.05.2026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