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VOB-Schiedsgutachten und Schlichtung</w:t>
      </w:r>
    </w:p>
    <w:p>
      <w:pPr>
        <w:jc w:val="left"/>
      </w:pPr>
      <w:r>
        <w:rPr>
          <w:b/>
        </w:rPr>
        <w:t>Kanzlei Niedermair Baurecht Rosenheim — AZ NB-2026-0318</w:t>
      </w:r>
    </w:p>
    <w:p/>
    <w:p>
      <w:pPr>
        <w:pStyle w:val="Heading2"/>
      </w:pPr>
      <w:r>
        <w:rPr>
          <w:rFonts w:ascii="Times New Roman" w:hAnsi="Times New Roman"/>
        </w:rPr>
        <w:t>A. Schiedsvertragliche Grundlage</w:t>
      </w:r>
    </w:p>
    <w:p>
      <w:pPr>
        <w:jc w:val="left"/>
      </w:pPr>
      <w:r>
        <w:t>Der GU-Vertrag vom 12. Juli 2023 enthält in § 17 (Streitbeilegung) folgende Klausel:</w:t>
      </w:r>
    </w:p>
    <w:p>
      <w:pPr>
        <w:ind w:left="567"/>
      </w:pPr>
      <w:r>
        <w:rPr>
          <w:b/>
          <w:i/>
        </w:rPr>
        <w:t>§ 17.1 Schiedsgutachten:</w:t>
      </w:r>
    </w:p>
    <w:p>
      <w:pPr>
        <w:ind w:left="567"/>
      </w:pPr>
      <w:r>
        <w:rPr>
          <w:i/>
        </w:rPr>
        <w:t>„Bei Meinungsverschiedenheiten über die technischen Ausführungsanforderungen, die Qualität der Leistungen oder die Mangelfreiheit des Werkes vereinbaren die Parteien ein Schiedsgutachterverfahren nach § 18 Nr. 2 VOB/B. Der Schiedsgutachter soll innerhalb von 4 Wochen nach seiner Bestellung sein Gutachten erstellen. Die Kosten des Verfahrens trägt die unterliegende Partei."</w:t>
      </w:r>
    </w:p>
    <w:p>
      <w:pPr>
        <w:ind w:left="567"/>
      </w:pPr>
      <w:r>
        <w:rPr>
          <w:b/>
          <w:i/>
        </w:rPr>
        <w:t>§ 17.2 Schlichtung:</w:t>
      </w:r>
    </w:p>
    <w:p>
      <w:pPr>
        <w:ind w:left="567"/>
      </w:pPr>
      <w:r>
        <w:rPr>
          <w:i/>
        </w:rPr>
        <w:t>„Vor Einleitung eines gerichtlichen Verfahrens sind die Parteien verpflichtet, eine Schlichtung beim Schlichtungsausschuss der Bayerischen Ingenieurekammer-Bau zu versuchen. Das Scheitern der Schlichtung ist durch den Schlichtungsausschuss zu bescheinigen."</w:t>
      </w:r>
    </w:p>
    <w:p>
      <w:pPr>
        <w:ind w:left="567"/>
      </w:pPr>
      <w:r>
        <w:rPr>
          <w:b/>
          <w:i/>
        </w:rPr>
        <w:t>§ 17.3 Gerichtsstandsvereinbarung:</w:t>
      </w:r>
    </w:p>
    <w:p>
      <w:pPr>
        <w:ind w:left="567"/>
      </w:pPr>
      <w:r>
        <w:rPr>
          <w:i/>
        </w:rPr>
        <w:t>„Ausschließlicher Gerichtsstand für alle Streitigkeiten aus diesem Vertrag ist Traunstein."</w:t>
      </w:r>
    </w:p>
    <w:p/>
    <w:p>
      <w:pPr>
        <w:pStyle w:val="Heading2"/>
      </w:pPr>
      <w:r>
        <w:rPr>
          <w:rFonts w:ascii="Times New Roman" w:hAnsi="Times New Roman"/>
        </w:rPr>
        <w:t>B. Schiedsgutachterverfahren — Bestellung und Ablauf</w:t>
      </w:r>
    </w:p>
    <w:p>
      <w:pPr>
        <w:pStyle w:val="Heading3"/>
      </w:pPr>
      <w:r>
        <w:rPr>
          <w:rFonts w:ascii="Times New Roman" w:hAnsi="Times New Roman"/>
        </w:rPr>
        <w:t>Ausgangssituation</w:t>
      </w:r>
    </w:p>
    <w:p>
      <w:pPr>
        <w:jc w:val="left"/>
      </w:pPr>
      <w:r>
        <w:t>Bauer-Hoch hat mit Schreiben von RA Strohmayer vom 05. Mai 2026 die Einleitung eines Schiedsgutachterverfahrens beantragt und Dipl.-Ing. (FH) Wolfgang Grünhagen (öffentlich bestellter und vereidigter Sachverständiger für das Maurerhandwerk, München) als Schiedsgutachter vorgeschlagen.</w:t>
      </w:r>
    </w:p>
    <w:p>
      <w:pPr>
        <w:jc w:val="left"/>
      </w:pPr>
      <w:r>
        <w:t>Die Saalbau Wendelstein gGmbH lehnt Grünhagen ab, da er kein Sachverständiger für Stahlbetonkonstruktionen und Estricharbeiten ist und seine Erfahrung im Bereich der Bodenplattenproblematik nicht nachgewiesen ist.</w:t>
      </w:r>
    </w:p>
    <w:p>
      <w:pPr>
        <w:pStyle w:val="Heading3"/>
      </w:pPr>
      <w:r>
        <w:rPr>
          <w:rFonts w:ascii="Times New Roman" w:hAnsi="Times New Roman"/>
        </w:rPr>
        <w:t>Rechtslage Schiedsgutachterbestellung</w:t>
      </w:r>
    </w:p>
    <w:p>
      <w:pPr>
        <w:jc w:val="left"/>
      </w:pPr>
      <w:r>
        <w:t xml:space="preserve">Gemäß § 18 Nr. 2 Abs. 2 VOB/B ist der Schiedsgutachter von beiden Parteien zu bestimmen. Einigen sich die Parteien nicht innerhalb von 14 Werktagen, bestimmt ihn gemäß § 18 Nr. 2 Abs. 3 VOB/B auf Antrag einer Partei der Präsident des zuständigen Oberlandesgerichts — hier: der </w:t>
      </w:r>
      <w:r>
        <w:rPr>
          <w:b/>
        </w:rPr>
        <w:t>Präsident des OLG München</w:t>
      </w:r>
      <w:r>
        <w:t>.</w:t>
      </w:r>
    </w:p>
    <w:p>
      <w:pPr>
        <w:jc w:val="left"/>
      </w:pPr>
      <w:r>
        <w:rPr>
          <w:b/>
        </w:rPr>
        <w:t>Empfehlung der Kanzlei:</w:t>
      </w:r>
      <w:r>
        <w:t xml:space="preserve"> Ablehnung des Vorschlags Grünhagen und Einigung auf einen der folgenden qualifizierten Sachverständigen versuchen:</w:t>
      </w:r>
    </w:p>
    <w:p>
      <w:pPr>
        <w:pStyle w:val="ListNumber"/>
      </w:pPr>
      <w:r>
        <w:rPr>
          <w:b/>
        </w:rPr>
        <w:t>Prof. Dr.-Ing. Manfred Seibold</w:t>
      </w:r>
      <w:r>
        <w:t>, TU München, Lehrstuhl für Baukonstruktion und Bauschadensanalyse — Spezialisierung: Stahlbetonschäden, Estrich</w:t>
      </w:r>
    </w:p>
    <w:p>
      <w:pPr>
        <w:pStyle w:val="ListNumber"/>
      </w:pPr>
      <w:r>
        <w:rPr>
          <w:b/>
        </w:rPr>
        <w:t>Dipl.-Ing. Andreas Pfeiffer</w:t>
      </w:r>
      <w:r>
        <w:t>, öffentlich bestellter SV für Schäden an Gebäuden und Ingenieurkonstruktionen, München</w:t>
      </w:r>
    </w:p>
    <w:p>
      <w:pPr>
        <w:pStyle w:val="ListNumber"/>
      </w:pPr>
      <w:r>
        <w:rPr>
          <w:b/>
        </w:rPr>
        <w:t>Dr.-Ing. Susanne Hartl</w:t>
      </w:r>
      <w:r>
        <w:t>, Sachverständige für Bauphysik und Baukonstruktion, Augsburg</w:t>
      </w:r>
    </w:p>
    <w:p>
      <w:pPr>
        <w:jc w:val="left"/>
      </w:pPr>
      <w:r>
        <w:t>Falls Einigung innerhalb von 14 Werktagen scheitert: Antrag an Präsident OLG München auf Bestellung.</w:t>
      </w:r>
    </w:p>
    <w:p>
      <w:pPr>
        <w:pStyle w:val="Heading3"/>
      </w:pPr>
      <w:r>
        <w:rPr>
          <w:rFonts w:ascii="Times New Roman" w:hAnsi="Times New Roman"/>
        </w:rPr>
        <w:t>Gegenstand des Schiedsgutachtens</w:t>
      </w:r>
    </w:p>
    <w:p>
      <w:pPr>
        <w:jc w:val="left"/>
      </w:pPr>
      <w:r>
        <w:t>Das Schiedsgutachten soll folgende Fragen klären:</w:t>
      </w:r>
    </w:p>
    <w:p>
      <w:pPr>
        <w:pStyle w:val="ListNumber"/>
      </w:pPr>
      <w:r>
        <w:t>Sind die im Werkstattgebäude festgestellten Risse (14 Risse, Breiten 0,2–1,4 mm) als Mängel im Sinne des GU-Vertrags und § 13 Abs. 1 VOB/B zu qualifizieren?</w:t>
      </w:r>
    </w:p>
    <w:p>
      <w:pPr>
        <w:pStyle w:val="ListNumber"/>
      </w:pPr>
      <w:r>
        <w:t>Entspricht die Bodenplattenkonstruktion der vereinbarten Beschaffenheit (Leistungsverzeichnis, Bewehrungspläne, DIN 18202, DIN 1054)?</w:t>
      </w:r>
    </w:p>
    <w:p>
      <w:pPr>
        <w:pStyle w:val="ListNumber"/>
      </w:pPr>
      <w:r>
        <w:t>Sind die Ursachen der Risse (mangelnde Verdichtung, fehlende Bewehrung) nachgewiesen?</w:t>
      </w:r>
    </w:p>
    <w:p>
      <w:pPr>
        <w:pStyle w:val="ListNumber"/>
      </w:pPr>
      <w:r>
        <w:t>Welcher Sanierungsaufwand ist zur Mängelbeseitigung erforderlich?</w:t>
      </w:r>
    </w:p>
    <w:p>
      <w:pPr>
        <w:jc w:val="left"/>
      </w:pPr>
      <w:r>
        <w:rPr>
          <w:b/>
        </w:rPr>
        <w:t>Bindungswirkung:</w:t>
      </w:r>
      <w:r>
        <w:t xml:space="preserve"> Das Schiedsgutachten ist nach § 18 Nr. 2 VOB/B für beide Parteien verbindlich hinsichtlich der tatsächlichen Feststellungen; es ersetzt nicht die gerichtliche Entscheidung über Rechtsfragen. Arglistige Täuschung oder offenbare Unbilligkeit können zur Unverbindlichkeit führen (BGH, Urt. v. 28.03.1985 – VII ZR 317/83, BGHZ 94, 98).</w:t>
      </w:r>
    </w:p>
    <w:p/>
    <w:p>
      <w:pPr>
        <w:pStyle w:val="Heading2"/>
      </w:pPr>
      <w:r>
        <w:rPr>
          <w:rFonts w:ascii="Times New Roman" w:hAnsi="Times New Roman"/>
        </w:rPr>
        <w:t>C. Schlichtungsverfahren Bayerische Ingenieurekammer-Bau</w:t>
      </w:r>
    </w:p>
    <w:p>
      <w:pPr>
        <w:pStyle w:val="Heading3"/>
      </w:pPr>
      <w:r>
        <w:rPr>
          <w:rFonts w:ascii="Times New Roman" w:hAnsi="Times New Roman"/>
        </w:rPr>
        <w:t>Verfahrensablauf</w:t>
      </w:r>
    </w:p>
    <w:p>
      <w:pPr>
        <w:jc w:val="left"/>
      </w:pPr>
      <w:r>
        <w:t xml:space="preserve">Die Schlichtung nach § 17.2 des GU-Vertrags ist nach der Formulierung als </w:t>
      </w:r>
      <w:r>
        <w:rPr>
          <w:b/>
        </w:rPr>
        <w:t>Voraussetzung</w:t>
      </w:r>
      <w:r>
        <w:t xml:space="preserve"> für gerichtliche Verfahren vereinbart. Die Kanzlei empfiehlt, die Schlichtung unverzüglich zu beantragen, um die Gerichtszugangsvoraussetzung zu erfüllen, ohne das Hauptsacheverfahren zu verzögern.</w:t>
      </w:r>
    </w:p>
    <w:p>
      <w:pPr>
        <w:jc w:val="left"/>
      </w:pPr>
      <w:r>
        <w:t>Antragsteller: Saalbau Wendelstein gGmbH</w:t>
      </w:r>
    </w:p>
    <w:p>
      <w:pPr>
        <w:jc w:val="left"/>
      </w:pPr>
      <w:r>
        <w:t>Antragsgegner: Bauer-Hoch GmbH &amp; Co. KG</w:t>
      </w:r>
    </w:p>
    <w:p>
      <w:pPr>
        <w:jc w:val="left"/>
      </w:pPr>
      <w:r>
        <w:t>Schlichtungsstelle: Bayerische Ingenieurekammer-Bau, Schlich­tungs- und Vermittlungsstelle, München</w:t>
      </w:r>
    </w:p>
    <w:p>
      <w:pPr>
        <w:jc w:val="left"/>
      </w:pPr>
      <w:r>
        <w:rPr>
          <w:b/>
        </w:rPr>
        <w:t>Streitgegenstand Schlichtung:</w:t>
      </w:r>
    </w:p>
    <w:p>
      <w:pPr>
        <w:pStyle w:val="ListBullet"/>
      </w:pPr>
      <w:r>
        <w:t>Mängelbeseitigung Werkstattgebäude (23 Mängelpositionen)</w:t>
      </w:r>
    </w:p>
    <w:p>
      <w:pPr>
        <w:pStyle w:val="ListBullet"/>
      </w:pPr>
      <w:r>
        <w:t>Kostentragung Bodensanierung (soweit GU betroffen)</w:t>
      </w:r>
    </w:p>
    <w:p>
      <w:pPr>
        <w:pStyle w:val="ListBullet"/>
      </w:pPr>
      <w:r>
        <w:t>Vergütungsrückstand und Sicherheitseinbehalt</w:t>
      </w:r>
    </w:p>
    <w:p>
      <w:pPr>
        <w:jc w:val="left"/>
      </w:pPr>
      <w:r>
        <w:rPr>
          <w:b/>
        </w:rPr>
        <w:t>Zeitplan:</w:t>
      </w:r>
    </w:p>
    <w:p>
      <w:pPr>
        <w:pStyle w:val="ListBullet"/>
      </w:pPr>
      <w:r>
        <w:t>Schlichtungsantrag: bis 20. Mai 2026</w:t>
      </w:r>
    </w:p>
    <w:p>
      <w:pPr>
        <w:pStyle w:val="ListBullet"/>
      </w:pPr>
      <w:r>
        <w:t>Schlichtungstermin: voraussichtlich Juli/August 2026</w:t>
      </w:r>
    </w:p>
    <w:p>
      <w:pPr>
        <w:pStyle w:val="ListBullet"/>
      </w:pPr>
      <w:r>
        <w:t>Scheiternsbescheinigung ggf. Oktober 2026</w:t>
      </w:r>
    </w:p>
    <w:p>
      <w:pPr>
        <w:pStyle w:val="ListBullet"/>
      </w:pPr>
      <w:r>
        <w:t>Klageschrift LG Traunstein: nach Scheitern der Schlichtung (Ziel: Q4/2026)</w:t>
      </w:r>
    </w:p>
    <w:p/>
    <w:p>
      <w:pPr>
        <w:pStyle w:val="Heading2"/>
      </w:pPr>
      <w:r>
        <w:rPr>
          <w:rFonts w:ascii="Times New Roman" w:hAnsi="Times New Roman"/>
        </w:rPr>
        <w:t>D. Parallellauf: Selbstständiges Beweisverfahren</w:t>
      </w:r>
    </w:p>
    <w:p>
      <w:pPr>
        <w:jc w:val="left"/>
      </w:pPr>
      <w:r>
        <w:t>Das selbstständige Beweisverfahren (Az. 2 OH 7/26, LG Traunstein) ist vom Schiedsgutachterverfahren und der Schlichtung unabhängig; es sichert Beweise und ist nach §§ 485 ff. ZPO nicht von einer vorherigen Schlichtungsobligation abhängig (BGH, Urt. v. 14.01.2016 – VII ZB 39/15, NZBau 2016, 350). Das gerichtlich bestellte Gutachten (Prof. Seibold, wenn er bestellt wird) bildet dann die Grundlage für das Hauptsacheverfahren.</w:t>
      </w:r>
    </w:p>
    <w:p>
      <w:pPr>
        <w:pStyle w:val="Heading3"/>
      </w:pPr>
      <w:r>
        <w:rPr>
          <w:rFonts w:ascii="Times New Roman" w:hAnsi="Times New Roman"/>
        </w:rPr>
        <w:t>Koordination der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Abhängigkeit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Schiedsgutachten § 18 Nr. 2 VOB/B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Beantragt von GU (05.05.2026)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Bindende Tatsachenfeststellung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Einigung auf SV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Schlichtung Ingenieurekammer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zu beantragen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Scheiternsbescheinigung für 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Selbst. Beweisverfahren 2 OH 7/26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vorbereitet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Gerichtliche Beweissicherung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Hauptsacheklage LG Traunstein 2 O 318/26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vorbereitet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Mängelansprüche durchsetzen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Schlichtung scheitern lassen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Verhandlungsstrategie</w:t>
      </w:r>
    </w:p>
    <w:p>
      <w:pPr>
        <w:jc w:val="left"/>
      </w:pPr>
      <w:r>
        <w:t>Die Kanzlei empfiehlt folgende Verhandlungslinie:</w:t>
      </w:r>
    </w:p>
    <w:p>
      <w:pPr>
        <w:pStyle w:val="ListNumber"/>
      </w:pPr>
      <w:r>
        <w:t>Das Schiedsgutachterverfahren ist willkommen, wenn ein qualifizierter, sachgerechter Sachverständiger bestellt wird. Der Vorschlag Grünhagen wird abgelehnt.</w:t>
      </w:r>
    </w:p>
    <w:p>
      <w:pPr>
        <w:pStyle w:val="ListNumber"/>
      </w:pPr>
      <w:r>
        <w:t xml:space="preserve">Die Schlichtung wird aktiv genutzt: Die Kanzlei wird ein detailliertes Forderungsschreiben einreichen und eine Vergleichslösung in Form eines </w:t>
      </w:r>
      <w:r>
        <w:rPr>
          <w:b/>
        </w:rPr>
        <w:t>Mängelbeseitigungsplans mit Zeitschiene und Sicherheitsleistung</w:t>
      </w:r>
      <w:r>
        <w:t xml:space="preserve"> anbieten.</w:t>
      </w:r>
    </w:p>
    <w:p>
      <w:pPr>
        <w:pStyle w:val="ListNumber"/>
      </w:pPr>
      <w:r>
        <w:t>Klagevorbereitung läuft parallel weiter; Klageerhebung erfolgt unmittelbar nach Scheiternsbescheinigung.</w:t>
      </w:r>
    </w:p>
    <w:p>
      <w:pPr>
        <w:jc w:val="left"/>
      </w:pPr>
      <w:r>
        <w:rPr>
          <w:i/>
        </w:rPr>
        <w:t>Bearbeiterin: RAin Dr. Henriette Niedermair, Stand 12.05.2026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