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 Bauablaufstörung und Verzögerungsentschädigung</w:t>
      </w:r>
    </w:p>
    <w:p>
      <w:pPr>
        <w:jc w:val="left"/>
      </w:pPr>
      <w:r>
        <w:rPr>
          <w:b/>
        </w:rPr>
        <w:t>Kanzlei Niedermair Baurecht Rosenheim — AZ NB-2026-0318</w:t>
      </w:r>
    </w:p>
    <w:p/>
    <w:p>
      <w:pPr>
        <w:pStyle w:val="Heading2"/>
      </w:pPr>
      <w:r>
        <w:rPr>
          <w:rFonts w:ascii="Times New Roman" w:hAnsi="Times New Roman"/>
        </w:rPr>
        <w:t>A. Bauablauf und Störungsereignis</w:t>
      </w:r>
    </w:p>
    <w:p>
      <w:pPr>
        <w:pStyle w:val="Heading3"/>
      </w:pPr>
      <w:r>
        <w:rPr>
          <w:rFonts w:ascii="Times New Roman" w:hAnsi="Times New Roman"/>
        </w:rPr>
        <w:t>Vertraglich vereinbarter Bauablauf</w:t>
      </w:r>
    </w:p>
    <w:p>
      <w:pPr>
        <w:jc w:val="left"/>
      </w:pPr>
      <w:r>
        <w:t>Gemäß GU-Vertrag vom 12.07.2023, Anlage 2 (Bauzeitenplan):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Phase</w:t>
            </w:r>
          </w:p>
        </w:tc>
        <w:tc>
          <w:tcPr>
            <w:tcW w:type="dxa" w:w="2268"/>
          </w:tcPr>
          <w:p>
            <w:r>
              <w:rPr>
                <w:rFonts w:ascii="Times New Roman" w:hAnsi="Times New Roman"/>
                <w:b/>
                <w:sz w:val="20"/>
              </w:rPr>
              <w:t>Beginn</w:t>
            </w:r>
          </w:p>
        </w:tc>
        <w:tc>
          <w:tcPr>
            <w:tcW w:type="dxa" w:w="2268"/>
          </w:tcPr>
          <w:p>
            <w:r>
              <w:rPr>
                <w:rFonts w:ascii="Times New Roman" w:hAnsi="Times New Roman"/>
                <w:b/>
                <w:sz w:val="20"/>
              </w:rPr>
              <w:t>Ende (plan)</w:t>
            </w:r>
          </w:p>
        </w:tc>
        <w:tc>
          <w:tcPr>
            <w:tcW w:type="dxa" w:w="2268"/>
          </w:tcPr>
          <w:p>
            <w:r>
              <w:rPr>
                <w:rFonts w:ascii="Times New Roman" w:hAnsi="Times New Roman"/>
                <w:b/>
                <w:sz w:val="20"/>
              </w:rPr>
              <w:t>Gewerk</w:t>
            </w:r>
          </w:p>
        </w:tc>
      </w:tr>
      <w:tr>
        <w:tc>
          <w:tcPr>
            <w:tcW w:type="dxa" w:w="2268"/>
          </w:tcPr>
          <w:p>
            <w:r>
              <w:rPr>
                <w:rFonts w:ascii="Times New Roman" w:hAnsi="Times New Roman"/>
                <w:sz w:val="20"/>
              </w:rPr>
              <w:t>Phase 1 — Probesaal</w:t>
            </w:r>
          </w:p>
        </w:tc>
        <w:tc>
          <w:tcPr>
            <w:tcW w:type="dxa" w:w="2268"/>
          </w:tcPr>
          <w:p>
            <w:r>
              <w:rPr>
                <w:rFonts w:ascii="Times New Roman" w:hAnsi="Times New Roman"/>
                <w:sz w:val="20"/>
              </w:rPr>
              <w:t>15.09.2023</w:t>
            </w:r>
          </w:p>
        </w:tc>
        <w:tc>
          <w:tcPr>
            <w:tcW w:type="dxa" w:w="2268"/>
          </w:tcPr>
          <w:p>
            <w:r>
              <w:rPr>
                <w:rFonts w:ascii="Times New Roman" w:hAnsi="Times New Roman"/>
                <w:sz w:val="20"/>
              </w:rPr>
              <w:t>30.09.2025</w:t>
            </w:r>
          </w:p>
        </w:tc>
        <w:tc>
          <w:tcPr>
            <w:tcW w:type="dxa" w:w="2268"/>
          </w:tcPr>
          <w:p>
            <w:r>
              <w:rPr>
                <w:rFonts w:ascii="Times New Roman" w:hAnsi="Times New Roman"/>
                <w:sz w:val="20"/>
              </w:rPr>
              <w:t>Rohbau, Ausbau, TGA</w:t>
            </w:r>
          </w:p>
        </w:tc>
      </w:tr>
      <w:tr>
        <w:tc>
          <w:tcPr>
            <w:tcW w:type="dxa" w:w="2268"/>
          </w:tcPr>
          <w:p>
            <w:r>
              <w:rPr>
                <w:rFonts w:ascii="Times New Roman" w:hAnsi="Times New Roman"/>
                <w:sz w:val="20"/>
              </w:rPr>
              <w:t>Phase 2 — Werkstätten</w:t>
            </w:r>
          </w:p>
        </w:tc>
        <w:tc>
          <w:tcPr>
            <w:tcW w:type="dxa" w:w="2268"/>
          </w:tcPr>
          <w:p>
            <w:r>
              <w:rPr>
                <w:rFonts w:ascii="Times New Roman" w:hAnsi="Times New Roman"/>
                <w:sz w:val="20"/>
              </w:rPr>
              <w:t>01.04.2024</w:t>
            </w:r>
          </w:p>
        </w:tc>
        <w:tc>
          <w:tcPr>
            <w:tcW w:type="dxa" w:w="2268"/>
          </w:tcPr>
          <w:p>
            <w:r>
              <w:rPr>
                <w:rFonts w:ascii="Times New Roman" w:hAnsi="Times New Roman"/>
                <w:sz w:val="20"/>
              </w:rPr>
              <w:t>15.12.2025</w:t>
            </w:r>
          </w:p>
        </w:tc>
        <w:tc>
          <w:tcPr>
            <w:tcW w:type="dxa" w:w="2268"/>
          </w:tcPr>
          <w:p>
            <w:r>
              <w:rPr>
                <w:rFonts w:ascii="Times New Roman" w:hAnsi="Times New Roman"/>
                <w:sz w:val="20"/>
              </w:rPr>
              <w:t>Rohbau, Ausbau, TGA</w:t>
            </w:r>
          </w:p>
        </w:tc>
      </w:tr>
      <w:tr>
        <w:tc>
          <w:tcPr>
            <w:tcW w:type="dxa" w:w="2268"/>
          </w:tcPr>
          <w:p>
            <w:r>
              <w:rPr>
                <w:rFonts w:ascii="Times New Roman" w:hAnsi="Times New Roman"/>
                <w:sz w:val="20"/>
              </w:rPr>
              <w:t>Phase 3 — Lagerhalle</w:t>
            </w:r>
          </w:p>
        </w:tc>
        <w:tc>
          <w:tcPr>
            <w:tcW w:type="dxa" w:w="2268"/>
          </w:tcPr>
          <w:p>
            <w:r>
              <w:rPr>
                <w:rFonts w:ascii="Times New Roman" w:hAnsi="Times New Roman"/>
                <w:sz w:val="20"/>
              </w:rPr>
              <w:t>01.11.2025</w:t>
            </w:r>
          </w:p>
        </w:tc>
        <w:tc>
          <w:tcPr>
            <w:tcW w:type="dxa" w:w="2268"/>
          </w:tcPr>
          <w:p>
            <w:r>
              <w:rPr>
                <w:rFonts w:ascii="Times New Roman" w:hAnsi="Times New Roman"/>
                <w:sz w:val="20"/>
              </w:rPr>
              <w:t>30.06.2026</w:t>
            </w:r>
          </w:p>
        </w:tc>
        <w:tc>
          <w:tcPr>
            <w:tcW w:type="dxa" w:w="2268"/>
          </w:tcPr>
          <w:p>
            <w:r>
              <w:rPr>
                <w:rFonts w:ascii="Times New Roman" w:hAnsi="Times New Roman"/>
                <w:sz w:val="20"/>
              </w:rPr>
              <w:t>Rohbau, Außenanlagen</w:t>
            </w:r>
          </w:p>
        </w:tc>
      </w:tr>
    </w:tbl>
    <w:p>
      <w:pPr>
        <w:pStyle w:val="Heading3"/>
      </w:pPr>
      <w:r>
        <w:rPr>
          <w:rFonts w:ascii="Times New Roman" w:hAnsi="Times New Roman"/>
        </w:rPr>
        <w:t>Störungsereignis: Kontaminationsfund 28.01.2026</w:t>
      </w:r>
    </w:p>
    <w:p>
      <w:pPr>
        <w:jc w:val="left"/>
      </w:pPr>
      <w:r>
        <w:t>Am 28.01.2026 wurde der Aushub der Lagerhalle eingestellt. Das LRA Rosenheim ordnete Aushubstopp und Detailuntersuchung an. Damit war Phase 3 vollständig unterbrochen.</w:t>
      </w:r>
    </w:p>
    <w:p>
      <w:pPr>
        <w:jc w:val="left"/>
      </w:pPr>
      <w:r>
        <w:rPr>
          <w:b/>
        </w:rPr>
        <w:t>Dauer Stillstand:</w:t>
      </w:r>
      <w:r>
        <w:t xml:space="preserve"> 28.01.2026 bis 20.05.2026 = </w:t>
      </w:r>
      <w:r>
        <w:rPr>
          <w:b/>
        </w:rPr>
        <w:t>82 Kalendertage = ca. 11 Wochen</w:t>
      </w:r>
    </w:p>
    <w:p>
      <w:pPr>
        <w:jc w:val="left"/>
      </w:pPr>
      <w:r>
        <w:t>(Wiederaufnahme geplant nach Sanierungsfreigabe durch LRA Rosenheim; Stand Akteneingang: noch nicht erteilt — Stillstand hält an.)</w:t>
      </w:r>
    </w:p>
    <w:p/>
    <w:p>
      <w:pPr>
        <w:pStyle w:val="Heading2"/>
      </w:pPr>
      <w:r>
        <w:rPr>
          <w:rFonts w:ascii="Times New Roman" w:hAnsi="Times New Roman"/>
        </w:rPr>
        <w:t>B. Rechtliche Grundlagen der Entschädigung</w:t>
      </w:r>
    </w:p>
    <w:p>
      <w:pPr>
        <w:pStyle w:val="Heading3"/>
      </w:pPr>
      <w:r>
        <w:rPr>
          <w:rFonts w:ascii="Times New Roman" w:hAnsi="Times New Roman"/>
        </w:rPr>
        <w:t>B.1 § 6 Abs. 6 VOB/B — Entschädigung bei Behinderung</w:t>
      </w:r>
    </w:p>
    <w:p>
      <w:pPr>
        <w:ind w:left="567"/>
      </w:pPr>
      <w:r>
        <w:rPr>
          <w:i/>
        </w:rPr>
        <w:t>„Wird die Ausführung durch Umstände, die der Auftraggeber zu vertreten hat, länger als 3 Monate verzögert, so kann der Auftragnehmer nach fruchtlosem Ablauf einer gesetzten angemessenen Frist den Vertrag kündigen (§ 9 Nr. 1 VOB/B). Wird die Behinderung innerhalb von 3 Monaten behoben, hat der Auftragnehmer Anspruch auf angemessene Entschädigung."</w:t>
      </w:r>
    </w:p>
    <w:p>
      <w:pPr>
        <w:jc w:val="left"/>
      </w:pPr>
      <w:r>
        <w:rPr>
          <w:b/>
        </w:rPr>
        <w:t>Frage:</w:t>
      </w:r>
      <w:r>
        <w:t xml:space="preserve"> Ob der Kontaminationsfund und der daraus folgende Aushubstopp vom Auftraggeber (Saalbau Wendelstein) zu vertreten sind.</w:t>
      </w:r>
    </w:p>
    <w:p>
      <w:pPr>
        <w:jc w:val="left"/>
      </w:pPr>
      <w:r>
        <w:t>Das Baugrundrisiko ist nach § 7 des GU-Vertrags grundsätzlich dem Auftraggeber auferlegt. Dies schließt nach der Rechtsprechung auch Zeitverzögerungen durch unvorhergesehene Bodenverhältnisse ein (BGH, Urt. v. 26.04.2018 – VII ZR 122/17, BauR 2018, 1497).</w:t>
      </w:r>
    </w:p>
    <w:p>
      <w:pPr>
        <w:jc w:val="left"/>
      </w:pPr>
      <w:r>
        <w:rPr>
          <w:b/>
        </w:rPr>
        <w:t>Bewertung:</w:t>
      </w:r>
      <w:r>
        <w:t xml:space="preserve"> Die Kontamination des Baugrunds ist ein Umstand der Sphäre der Bauherrin. Der Kontaminationsfund und der behördliche Aushubstopp fallen unter die Baugrundrisikozuweisung. Bauer-Hoch kann grundsätzlich Entschädigung für den Stillstand der Lagerhallen-Arbeiten verlangen.</w:t>
      </w:r>
    </w:p>
    <w:p>
      <w:pPr>
        <w:pStyle w:val="Heading3"/>
      </w:pPr>
      <w:r>
        <w:rPr>
          <w:rFonts w:ascii="Times New Roman" w:hAnsi="Times New Roman"/>
        </w:rPr>
        <w:t>B.2 § 642 BGB — Annahmeverzug des Bestellers</w:t>
      </w:r>
    </w:p>
    <w:p>
      <w:pPr>
        <w:jc w:val="left"/>
      </w:pPr>
      <w:r>
        <w:t>§ 642 BGB gewährt dem Unternehmer eine Entschädigung für den Fall, dass der Besteller bei der Abnahme in Verzug gerät. Diese Norm greift, wenn der Auftraggeber die zur Vollendung des Werkes erforderliche Mitwirkungshandlung unterlässt. Das Bereitstellen mangelfreien Baugrunds ist eine Mitwirkungshandlung des Auftraggebers (BGH, Urt. v. 26.04.2018 – VII ZR 122/17).</w:t>
      </w:r>
    </w:p>
    <w:p>
      <w:pPr>
        <w:pStyle w:val="Heading3"/>
      </w:pPr>
      <w:r>
        <w:rPr>
          <w:rFonts w:ascii="Times New Roman" w:hAnsi="Times New Roman"/>
        </w:rPr>
        <w:t>B.3 Gegenansprüche der Saalbau Wendelstein gGmbH</w:t>
      </w:r>
    </w:p>
    <w:p>
      <w:pPr>
        <w:jc w:val="left"/>
      </w:pPr>
      <w:r>
        <w:t>Die Saalbau Wendelstein hat ihrerseits Gegenansprüche, die einer etwaigen Bauer-Hoch-Forderung entgegenstehen oder sie übersteigen:</w:t>
      </w:r>
    </w:p>
    <w:p>
      <w:pPr>
        <w:pStyle w:val="ListBullet"/>
      </w:pPr>
      <w:r>
        <w:t>Mängelbeseitigungskosten Werkstattgebäude (ca. 165.500 EUR, Aktenstück 03)</w:t>
      </w:r>
    </w:p>
    <w:p>
      <w:pPr>
        <w:pStyle w:val="ListBullet"/>
      </w:pPr>
      <w:r>
        <w:t>Nutzungsausfall Lagerhalle (entgangene Einnahmen, noch zu berechnen)</w:t>
      </w:r>
    </w:p>
    <w:p>
      <w:pPr>
        <w:pStyle w:val="ListBullet"/>
      </w:pPr>
      <w:r>
        <w:t>Mehraufwand durch Kontaminationsstillstand (wird Bauer-Hoch zum Teil nicht entlasten, soweit selbst verursacht)</w:t>
      </w:r>
    </w:p>
    <w:p/>
    <w:p>
      <w:pPr>
        <w:pStyle w:val="Heading2"/>
      </w:pPr>
      <w:r>
        <w:rPr>
          <w:rFonts w:ascii="Times New Roman" w:hAnsi="Times New Roman"/>
        </w:rPr>
        <w:t>C. Berechnung der Verzögerungsentschädigung (Bauer-Hoch-Perspektive)</w:t>
      </w:r>
    </w:p>
    <w:p>
      <w:pPr>
        <w:jc w:val="left"/>
      </w:pPr>
      <w:r>
        <w:t>Die folgende Berechnung dient der Vorbereitung der Verhandlung und der Einschätzung des Gegenrisikos aus einer Bauer-Hoch-Gegenforderung.</w:t>
      </w:r>
    </w:p>
    <w:p>
      <w:pPr>
        <w:pStyle w:val="Heading3"/>
      </w:pPr>
      <w:r>
        <w:rPr>
          <w:rFonts w:ascii="Times New Roman" w:hAnsi="Times New Roman"/>
        </w:rPr>
        <w:t>C.1 Gerätekosten (Stillstand)</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Gerät</w:t>
            </w:r>
          </w:p>
        </w:tc>
        <w:tc>
          <w:tcPr>
            <w:tcW w:type="dxa" w:w="2268"/>
          </w:tcPr>
          <w:p>
            <w:r>
              <w:rPr>
                <w:rFonts w:ascii="Times New Roman" w:hAnsi="Times New Roman"/>
                <w:b/>
                <w:sz w:val="20"/>
              </w:rPr>
              <w:t>Tagessatz (Vorhaltung)</w:t>
            </w:r>
          </w:p>
        </w:tc>
        <w:tc>
          <w:tcPr>
            <w:tcW w:type="dxa" w:w="2268"/>
          </w:tcPr>
          <w:p>
            <w:r>
              <w:rPr>
                <w:rFonts w:ascii="Times New Roman" w:hAnsi="Times New Roman"/>
                <w:b/>
                <w:sz w:val="20"/>
              </w:rPr>
              <w:t>Stillstand (Tage)</w:t>
            </w:r>
          </w:p>
        </w:tc>
        <w:tc>
          <w:tcPr>
            <w:tcW w:type="dxa" w:w="2268"/>
          </w:tcPr>
          <w:p>
            <w:r>
              <w:rPr>
                <w:rFonts w:ascii="Times New Roman" w:hAnsi="Times New Roman"/>
                <w:b/>
                <w:sz w:val="20"/>
              </w:rPr>
              <w:t>Gesamt</w:t>
            </w:r>
          </w:p>
        </w:tc>
      </w:tr>
      <w:tr>
        <w:tc>
          <w:tcPr>
            <w:tcW w:type="dxa" w:w="2268"/>
          </w:tcPr>
          <w:p>
            <w:r>
              <w:rPr>
                <w:rFonts w:ascii="Times New Roman" w:hAnsi="Times New Roman"/>
                <w:sz w:val="20"/>
              </w:rPr>
              <w:t>2 × Bagger Cat 320</w:t>
            </w:r>
          </w:p>
        </w:tc>
        <w:tc>
          <w:tcPr>
            <w:tcW w:type="dxa" w:w="2268"/>
          </w:tcPr>
          <w:p>
            <w:r>
              <w:rPr>
                <w:rFonts w:ascii="Times New Roman" w:hAnsi="Times New Roman"/>
                <w:sz w:val="20"/>
              </w:rPr>
              <w:t>280 EUR/Tag/Stk</w:t>
            </w:r>
          </w:p>
        </w:tc>
        <w:tc>
          <w:tcPr>
            <w:tcW w:type="dxa" w:w="2268"/>
          </w:tcPr>
          <w:p>
            <w:r>
              <w:rPr>
                <w:rFonts w:ascii="Times New Roman" w:hAnsi="Times New Roman"/>
                <w:sz w:val="20"/>
              </w:rPr>
              <w:t>82</w:t>
            </w:r>
          </w:p>
        </w:tc>
        <w:tc>
          <w:tcPr>
            <w:tcW w:type="dxa" w:w="2268"/>
          </w:tcPr>
          <w:p>
            <w:r>
              <w:rPr>
                <w:rFonts w:ascii="Times New Roman" w:hAnsi="Times New Roman"/>
                <w:sz w:val="20"/>
              </w:rPr>
              <w:t>45.920 EUR</w:t>
            </w:r>
          </w:p>
        </w:tc>
      </w:tr>
      <w:tr>
        <w:tc>
          <w:tcPr>
            <w:tcW w:type="dxa" w:w="2268"/>
          </w:tcPr>
          <w:p>
            <w:r>
              <w:rPr>
                <w:rFonts w:ascii="Times New Roman" w:hAnsi="Times New Roman"/>
                <w:sz w:val="20"/>
              </w:rPr>
              <w:t>1 × Radlader Volvo L70</w:t>
            </w:r>
          </w:p>
        </w:tc>
        <w:tc>
          <w:tcPr>
            <w:tcW w:type="dxa" w:w="2268"/>
          </w:tcPr>
          <w:p>
            <w:r>
              <w:rPr>
                <w:rFonts w:ascii="Times New Roman" w:hAnsi="Times New Roman"/>
                <w:sz w:val="20"/>
              </w:rPr>
              <w:t>120 EUR/Tag</w:t>
            </w:r>
          </w:p>
        </w:tc>
        <w:tc>
          <w:tcPr>
            <w:tcW w:type="dxa" w:w="2268"/>
          </w:tcPr>
          <w:p>
            <w:r>
              <w:rPr>
                <w:rFonts w:ascii="Times New Roman" w:hAnsi="Times New Roman"/>
                <w:sz w:val="20"/>
              </w:rPr>
              <w:t>82</w:t>
            </w:r>
          </w:p>
        </w:tc>
        <w:tc>
          <w:tcPr>
            <w:tcW w:type="dxa" w:w="2268"/>
          </w:tcPr>
          <w:p>
            <w:r>
              <w:rPr>
                <w:rFonts w:ascii="Times New Roman" w:hAnsi="Times New Roman"/>
                <w:sz w:val="20"/>
              </w:rPr>
              <w:t>9.840 EUR</w:t>
            </w:r>
          </w:p>
        </w:tc>
      </w:tr>
      <w:tr>
        <w:tc>
          <w:tcPr>
            <w:tcW w:type="dxa" w:w="2268"/>
          </w:tcPr>
          <w:p>
            <w:r>
              <w:rPr>
                <w:rFonts w:ascii="Times New Roman" w:hAnsi="Times New Roman"/>
                <w:sz w:val="20"/>
              </w:rPr>
              <w:t>Verbau Material (vorgehalten)</w:t>
            </w:r>
          </w:p>
        </w:tc>
        <w:tc>
          <w:tcPr>
            <w:tcW w:type="dxa" w:w="2268"/>
          </w:tcPr>
          <w:p>
            <w:r>
              <w:rPr>
                <w:rFonts w:ascii="Times New Roman" w:hAnsi="Times New Roman"/>
                <w:sz w:val="20"/>
              </w:rPr>
              <w:t>85 EUR/Tag</w:t>
            </w:r>
          </w:p>
        </w:tc>
        <w:tc>
          <w:tcPr>
            <w:tcW w:type="dxa" w:w="2268"/>
          </w:tcPr>
          <w:p>
            <w:r>
              <w:rPr>
                <w:rFonts w:ascii="Times New Roman" w:hAnsi="Times New Roman"/>
                <w:sz w:val="20"/>
              </w:rPr>
              <w:t>82</w:t>
            </w:r>
          </w:p>
        </w:tc>
        <w:tc>
          <w:tcPr>
            <w:tcW w:type="dxa" w:w="2268"/>
          </w:tcPr>
          <w:p>
            <w:r>
              <w:rPr>
                <w:rFonts w:ascii="Times New Roman" w:hAnsi="Times New Roman"/>
                <w:sz w:val="20"/>
              </w:rPr>
              <w:t>6.970 EUR</w:t>
            </w:r>
          </w:p>
        </w:tc>
      </w:tr>
      <w:tr>
        <w:tc>
          <w:tcPr>
            <w:tcW w:type="dxa" w:w="2268"/>
          </w:tcPr>
          <w:p>
            <w:r>
              <w:rPr>
                <w:rFonts w:ascii="Times New Roman" w:hAnsi="Times New Roman"/>
                <w:sz w:val="20"/>
              </w:rPr>
              <w:t>Schalung Lagerhalle (eingelagert)</w:t>
            </w:r>
          </w:p>
        </w:tc>
        <w:tc>
          <w:tcPr>
            <w:tcW w:type="dxa" w:w="2268"/>
          </w:tcPr>
          <w:p>
            <w:r>
              <w:rPr>
                <w:rFonts w:ascii="Times New Roman" w:hAnsi="Times New Roman"/>
                <w:sz w:val="20"/>
              </w:rPr>
              <w:t>160 EUR/Tag</w:t>
            </w:r>
          </w:p>
        </w:tc>
        <w:tc>
          <w:tcPr>
            <w:tcW w:type="dxa" w:w="2268"/>
          </w:tcPr>
          <w:p>
            <w:r>
              <w:rPr>
                <w:rFonts w:ascii="Times New Roman" w:hAnsi="Times New Roman"/>
                <w:sz w:val="20"/>
              </w:rPr>
              <w:t>82</w:t>
            </w:r>
          </w:p>
        </w:tc>
        <w:tc>
          <w:tcPr>
            <w:tcW w:type="dxa" w:w="2268"/>
          </w:tcPr>
          <w:p>
            <w:r>
              <w:rPr>
                <w:rFonts w:ascii="Times New Roman" w:hAnsi="Times New Roman"/>
                <w:sz w:val="20"/>
              </w:rPr>
              <w:t>13.120 EUR</w:t>
            </w:r>
          </w:p>
        </w:tc>
      </w:tr>
      <w:tr>
        <w:tc>
          <w:tcPr>
            <w:tcW w:type="dxa" w:w="2268"/>
          </w:tcPr>
          <w:p>
            <w:r>
              <w:rPr>
                <w:rFonts w:ascii="Times New Roman" w:hAnsi="Times New Roman"/>
                <w:b/>
                <w:sz w:val="20"/>
              </w:rPr>
              <w:t>Gesamt Gerätekosten</w:t>
            </w:r>
          </w:p>
        </w:tc>
        <w:tc>
          <w:tcPr>
            <w:tcW w:type="dxa" w:w="2268"/>
          </w:tcPr>
          <w:p/>
        </w:tc>
        <w:tc>
          <w:tcPr>
            <w:tcW w:type="dxa" w:w="2268"/>
          </w:tcPr>
          <w:p/>
        </w:tc>
        <w:tc>
          <w:tcPr>
            <w:tcW w:type="dxa" w:w="2268"/>
          </w:tcPr>
          <w:p>
            <w:r>
              <w:rPr>
                <w:rFonts w:ascii="Times New Roman" w:hAnsi="Times New Roman"/>
                <w:b/>
                <w:sz w:val="20"/>
              </w:rPr>
              <w:t>75.850 EUR</w:t>
            </w:r>
          </w:p>
        </w:tc>
      </w:tr>
    </w:tbl>
    <w:p>
      <w:pPr>
        <w:pStyle w:val="Heading3"/>
      </w:pPr>
      <w:r>
        <w:rPr>
          <w:rFonts w:ascii="Times New Roman" w:hAnsi="Times New Roman"/>
        </w:rPr>
        <w:t>C.2 Lohnkosten Vorhaltung Stammpersonal</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Personal</w:t>
            </w:r>
          </w:p>
        </w:tc>
        <w:tc>
          <w:tcPr>
            <w:tcW w:type="dxa" w:w="2268"/>
          </w:tcPr>
          <w:p>
            <w:r>
              <w:rPr>
                <w:rFonts w:ascii="Times New Roman" w:hAnsi="Times New Roman"/>
                <w:b/>
                <w:sz w:val="20"/>
              </w:rPr>
              <w:t>Wochenlohn brutto inkl. Lohnnebenkosten</w:t>
            </w:r>
          </w:p>
        </w:tc>
        <w:tc>
          <w:tcPr>
            <w:tcW w:type="dxa" w:w="2268"/>
          </w:tcPr>
          <w:p>
            <w:r>
              <w:rPr>
                <w:rFonts w:ascii="Times New Roman" w:hAnsi="Times New Roman"/>
                <w:b/>
                <w:sz w:val="20"/>
              </w:rPr>
              <w:t>Wochen</w:t>
            </w:r>
          </w:p>
        </w:tc>
        <w:tc>
          <w:tcPr>
            <w:tcW w:type="dxa" w:w="2268"/>
          </w:tcPr>
          <w:p>
            <w:r>
              <w:rPr>
                <w:rFonts w:ascii="Times New Roman" w:hAnsi="Times New Roman"/>
                <w:b/>
                <w:sz w:val="20"/>
              </w:rPr>
              <w:t>Gesamt</w:t>
            </w:r>
          </w:p>
        </w:tc>
      </w:tr>
      <w:tr>
        <w:tc>
          <w:tcPr>
            <w:tcW w:type="dxa" w:w="2268"/>
          </w:tcPr>
          <w:p>
            <w:r>
              <w:rPr>
                <w:rFonts w:ascii="Times New Roman" w:hAnsi="Times New Roman"/>
                <w:sz w:val="20"/>
              </w:rPr>
              <w:t>2 × Bauführer (anteilig, 30 % Zuordnung)</w:t>
            </w:r>
          </w:p>
        </w:tc>
        <w:tc>
          <w:tcPr>
            <w:tcW w:type="dxa" w:w="2268"/>
          </w:tcPr>
          <w:p>
            <w:r>
              <w:rPr>
                <w:rFonts w:ascii="Times New Roman" w:hAnsi="Times New Roman"/>
                <w:sz w:val="20"/>
              </w:rPr>
              <w:t>2 × 3.200 EUR</w:t>
            </w:r>
          </w:p>
        </w:tc>
        <w:tc>
          <w:tcPr>
            <w:tcW w:type="dxa" w:w="2268"/>
          </w:tcPr>
          <w:p>
            <w:r>
              <w:rPr>
                <w:rFonts w:ascii="Times New Roman" w:hAnsi="Times New Roman"/>
                <w:sz w:val="20"/>
              </w:rPr>
              <w:t>11</w:t>
            </w:r>
          </w:p>
        </w:tc>
        <w:tc>
          <w:tcPr>
            <w:tcW w:type="dxa" w:w="2268"/>
          </w:tcPr>
          <w:p>
            <w:r>
              <w:rPr>
                <w:rFonts w:ascii="Times New Roman" w:hAnsi="Times New Roman"/>
                <w:sz w:val="20"/>
              </w:rPr>
              <w:t>70.400 EUR</w:t>
            </w:r>
          </w:p>
        </w:tc>
      </w:tr>
      <w:tr>
        <w:tc>
          <w:tcPr>
            <w:tcW w:type="dxa" w:w="2268"/>
          </w:tcPr>
          <w:p>
            <w:r>
              <w:rPr>
                <w:rFonts w:ascii="Times New Roman" w:hAnsi="Times New Roman"/>
                <w:sz w:val="20"/>
              </w:rPr>
              <w:t>4 × Facharbeiter Tiefbau (auf Abruf)</w:t>
            </w:r>
          </w:p>
        </w:tc>
        <w:tc>
          <w:tcPr>
            <w:tcW w:type="dxa" w:w="2268"/>
          </w:tcPr>
          <w:p>
            <w:r>
              <w:rPr>
                <w:rFonts w:ascii="Times New Roman" w:hAnsi="Times New Roman"/>
                <w:sz w:val="20"/>
              </w:rPr>
              <w:t>4 × 2.800 EUR</w:t>
            </w:r>
          </w:p>
        </w:tc>
        <w:tc>
          <w:tcPr>
            <w:tcW w:type="dxa" w:w="2268"/>
          </w:tcPr>
          <w:p>
            <w:r>
              <w:rPr>
                <w:rFonts w:ascii="Times New Roman" w:hAnsi="Times New Roman"/>
                <w:sz w:val="20"/>
              </w:rPr>
              <w:t>11</w:t>
            </w:r>
          </w:p>
        </w:tc>
        <w:tc>
          <w:tcPr>
            <w:tcW w:type="dxa" w:w="2268"/>
          </w:tcPr>
          <w:p>
            <w:r>
              <w:rPr>
                <w:rFonts w:ascii="Times New Roman" w:hAnsi="Times New Roman"/>
                <w:sz w:val="20"/>
              </w:rPr>
              <w:t>123.200 EUR</w:t>
            </w:r>
          </w:p>
        </w:tc>
      </w:tr>
      <w:tr>
        <w:tc>
          <w:tcPr>
            <w:tcW w:type="dxa" w:w="2268"/>
          </w:tcPr>
          <w:p>
            <w:r>
              <w:rPr>
                <w:rFonts w:ascii="Times New Roman" w:hAnsi="Times New Roman"/>
                <w:sz w:val="20"/>
              </w:rPr>
              <w:t>1 × Bauleiter (anteilig, 20 %)</w:t>
            </w:r>
          </w:p>
        </w:tc>
        <w:tc>
          <w:tcPr>
            <w:tcW w:type="dxa" w:w="2268"/>
          </w:tcPr>
          <w:p>
            <w:r>
              <w:rPr>
                <w:rFonts w:ascii="Times New Roman" w:hAnsi="Times New Roman"/>
                <w:sz w:val="20"/>
              </w:rPr>
              <w:t>4.100 EUR × 20 %</w:t>
            </w:r>
          </w:p>
        </w:tc>
        <w:tc>
          <w:tcPr>
            <w:tcW w:type="dxa" w:w="2268"/>
          </w:tcPr>
          <w:p>
            <w:r>
              <w:rPr>
                <w:rFonts w:ascii="Times New Roman" w:hAnsi="Times New Roman"/>
                <w:sz w:val="20"/>
              </w:rPr>
              <w:t>11</w:t>
            </w:r>
          </w:p>
        </w:tc>
        <w:tc>
          <w:tcPr>
            <w:tcW w:type="dxa" w:w="2268"/>
          </w:tcPr>
          <w:p>
            <w:r>
              <w:rPr>
                <w:rFonts w:ascii="Times New Roman" w:hAnsi="Times New Roman"/>
                <w:sz w:val="20"/>
              </w:rPr>
              <w:t>9.020 EUR</w:t>
            </w:r>
          </w:p>
        </w:tc>
      </w:tr>
      <w:tr>
        <w:tc>
          <w:tcPr>
            <w:tcW w:type="dxa" w:w="2268"/>
          </w:tcPr>
          <w:p>
            <w:r>
              <w:rPr>
                <w:rFonts w:ascii="Times New Roman" w:hAnsi="Times New Roman"/>
                <w:b/>
                <w:sz w:val="20"/>
              </w:rPr>
              <w:t>Gesamt Lohnkosten</w:t>
            </w:r>
          </w:p>
        </w:tc>
        <w:tc>
          <w:tcPr>
            <w:tcW w:type="dxa" w:w="2268"/>
          </w:tcPr>
          <w:p/>
        </w:tc>
        <w:tc>
          <w:tcPr>
            <w:tcW w:type="dxa" w:w="2268"/>
          </w:tcPr>
          <w:p/>
        </w:tc>
        <w:tc>
          <w:tcPr>
            <w:tcW w:type="dxa" w:w="2268"/>
          </w:tcPr>
          <w:p>
            <w:r>
              <w:rPr>
                <w:rFonts w:ascii="Times New Roman" w:hAnsi="Times New Roman"/>
                <w:b/>
                <w:sz w:val="20"/>
              </w:rPr>
              <w:t>202.620 EUR</w:t>
            </w:r>
          </w:p>
        </w:tc>
      </w:tr>
    </w:tbl>
    <w:p>
      <w:pPr>
        <w:pStyle w:val="Heading3"/>
      </w:pPr>
      <w:r>
        <w:rPr>
          <w:rFonts w:ascii="Times New Roman" w:hAnsi="Times New Roman"/>
        </w:rPr>
        <w:t>C.3 Allgemeine Geschäftskosten (AGK) anteilig</w:t>
      </w:r>
    </w:p>
    <w:p>
      <w:pPr>
        <w:jc w:val="left"/>
      </w:pPr>
      <w:r>
        <w:t>AGK-Satz gemäß Urkalkulation Bauer-Hoch: 11,5 % des Einzelkostenansatzes.</w:t>
      </w:r>
    </w:p>
    <w:p>
      <w:pPr>
        <w:jc w:val="left"/>
      </w:pPr>
      <w:r>
        <w:t xml:space="preserve">AGK auf (75.850 + 202.620) = 278.470 EUR: </w:t>
      </w:r>
      <w:r>
        <w:rPr>
          <w:b/>
        </w:rPr>
        <w:t>32.024 EUR</w:t>
      </w:r>
    </w:p>
    <w:p>
      <w:pPr>
        <w:pStyle w:val="Heading3"/>
      </w:pPr>
      <w:r>
        <w:rPr>
          <w:rFonts w:ascii="Times New Roman" w:hAnsi="Times New Roman"/>
        </w:rPr>
        <w:t>C.4 Wagnis und Gewinn (gemäß Urkalkulation, 3 %)</w:t>
      </w:r>
    </w:p>
    <w:p>
      <w:pPr>
        <w:jc w:val="left"/>
      </w:pPr>
      <w:r>
        <w:t xml:space="preserve">(278.470 + 32.024) × 3 % = </w:t>
      </w:r>
      <w:r>
        <w:rPr>
          <w:b/>
        </w:rPr>
        <w:t>9.315 EUR</w:t>
      </w:r>
    </w:p>
    <w:p>
      <w:pPr>
        <w:pStyle w:val="Heading3"/>
      </w:pPr>
      <w:r>
        <w:rPr>
          <w:rFonts w:ascii="Times New Roman" w:hAnsi="Times New Roman"/>
        </w:rPr>
        <w:t>C.5 Gesamtforderung Bauer-Hoch (Prognose)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Kostenblock</w:t>
            </w:r>
          </w:p>
        </w:tc>
        <w:tc>
          <w:tcPr>
            <w:tcW w:type="dxa" w:w="4536"/>
          </w:tcPr>
          <w:p>
            <w:r>
              <w:rPr>
                <w:rFonts w:ascii="Times New Roman" w:hAnsi="Times New Roman"/>
                <w:b/>
                <w:sz w:val="20"/>
              </w:rPr>
              <w:t>Betrag</w:t>
            </w:r>
          </w:p>
        </w:tc>
      </w:tr>
      <w:tr>
        <w:tc>
          <w:tcPr>
            <w:tcW w:type="dxa" w:w="4536"/>
          </w:tcPr>
          <w:p>
            <w:r>
              <w:rPr>
                <w:rFonts w:ascii="Times New Roman" w:hAnsi="Times New Roman"/>
                <w:sz w:val="20"/>
              </w:rPr>
              <w:t>Gerätekosten Vorhaltung</w:t>
            </w:r>
          </w:p>
        </w:tc>
        <w:tc>
          <w:tcPr>
            <w:tcW w:type="dxa" w:w="4536"/>
          </w:tcPr>
          <w:p>
            <w:r>
              <w:rPr>
                <w:rFonts w:ascii="Times New Roman" w:hAnsi="Times New Roman"/>
                <w:sz w:val="20"/>
              </w:rPr>
              <w:t>75.850 EUR</w:t>
            </w:r>
          </w:p>
        </w:tc>
      </w:tr>
      <w:tr>
        <w:tc>
          <w:tcPr>
            <w:tcW w:type="dxa" w:w="4536"/>
          </w:tcPr>
          <w:p>
            <w:r>
              <w:rPr>
                <w:rFonts w:ascii="Times New Roman" w:hAnsi="Times New Roman"/>
                <w:sz w:val="20"/>
              </w:rPr>
              <w:t>Lohnkosten Stammpersonal</w:t>
            </w:r>
          </w:p>
        </w:tc>
        <w:tc>
          <w:tcPr>
            <w:tcW w:type="dxa" w:w="4536"/>
          </w:tcPr>
          <w:p>
            <w:r>
              <w:rPr>
                <w:rFonts w:ascii="Times New Roman" w:hAnsi="Times New Roman"/>
                <w:sz w:val="20"/>
              </w:rPr>
              <w:t>202.620 EUR</w:t>
            </w:r>
          </w:p>
        </w:tc>
      </w:tr>
      <w:tr>
        <w:tc>
          <w:tcPr>
            <w:tcW w:type="dxa" w:w="4536"/>
          </w:tcPr>
          <w:p>
            <w:r>
              <w:rPr>
                <w:rFonts w:ascii="Times New Roman" w:hAnsi="Times New Roman"/>
                <w:sz w:val="20"/>
              </w:rPr>
              <w:t>AGK anteilig</w:t>
            </w:r>
          </w:p>
        </w:tc>
        <w:tc>
          <w:tcPr>
            <w:tcW w:type="dxa" w:w="4536"/>
          </w:tcPr>
          <w:p>
            <w:r>
              <w:rPr>
                <w:rFonts w:ascii="Times New Roman" w:hAnsi="Times New Roman"/>
                <w:sz w:val="20"/>
              </w:rPr>
              <w:t>32.024 EUR</w:t>
            </w:r>
          </w:p>
        </w:tc>
      </w:tr>
      <w:tr>
        <w:tc>
          <w:tcPr>
            <w:tcW w:type="dxa" w:w="4536"/>
          </w:tcPr>
          <w:p>
            <w:r>
              <w:rPr>
                <w:rFonts w:ascii="Times New Roman" w:hAnsi="Times New Roman"/>
                <w:sz w:val="20"/>
              </w:rPr>
              <w:t>Wagnis und Gewinn</w:t>
            </w:r>
          </w:p>
        </w:tc>
        <w:tc>
          <w:tcPr>
            <w:tcW w:type="dxa" w:w="4536"/>
          </w:tcPr>
          <w:p>
            <w:r>
              <w:rPr>
                <w:rFonts w:ascii="Times New Roman" w:hAnsi="Times New Roman"/>
                <w:sz w:val="20"/>
              </w:rPr>
              <w:t>9.315 EUR</w:t>
            </w:r>
          </w:p>
        </w:tc>
      </w:tr>
      <w:tr>
        <w:tc>
          <w:tcPr>
            <w:tcW w:type="dxa" w:w="4536"/>
          </w:tcPr>
          <w:p>
            <w:r>
              <w:rPr>
                <w:rFonts w:ascii="Times New Roman" w:hAnsi="Times New Roman"/>
                <w:b/>
                <w:sz w:val="20"/>
              </w:rPr>
              <w:t>Gesamt netto (Prognose)</w:t>
            </w:r>
          </w:p>
        </w:tc>
        <w:tc>
          <w:tcPr>
            <w:tcW w:type="dxa" w:w="4536"/>
          </w:tcPr>
          <w:p>
            <w:r>
              <w:rPr>
                <w:rFonts w:ascii="Times New Roman" w:hAnsi="Times New Roman"/>
                <w:b/>
                <w:sz w:val="20"/>
              </w:rPr>
              <w:t>319.809 EUR</w:t>
            </w:r>
          </w:p>
        </w:tc>
      </w:tr>
    </w:tbl>
    <w:p>
      <w:pPr>
        <w:jc w:val="left"/>
      </w:pPr>
      <w:r>
        <w:t>Diese Forderung ist voraussichtlich von Bauer-Hoch angemeldet (Schreiben RA Strohmayer vom 05.05.2026 deutet Reservierung an). Die Kanzlei bestreitet die Forderung in voller Höhe, da:</w:t>
      </w:r>
    </w:p>
    <w:p>
      <w:pPr>
        <w:pStyle w:val="ListNumber"/>
      </w:pPr>
      <w:r>
        <w:t>Bauer-Hoch hat nicht nachgewiesen, dass das Stammpersonal tatsächlich im Betrieb eingesetzt werden musste und konnte (Auslastungsnachweis fehlt)</w:t>
      </w:r>
    </w:p>
    <w:p>
      <w:pPr>
        <w:pStyle w:val="ListNumber"/>
      </w:pPr>
      <w:r>
        <w:t>Die AGK-Zuordnung auf reine Stillstandszeit ist streitig (OLG Köln BauR 2019, 1044)</w:t>
      </w:r>
    </w:p>
    <w:p>
      <w:pPr>
        <w:pStyle w:val="ListNumber"/>
      </w:pPr>
      <w:r>
        <w:t>Gegenansprüche Saalbau überwiegen (165.500 EUR Mängel, zuzüglich weiterer Ansprüche)</w:t>
      </w:r>
    </w:p>
    <w:p/>
    <w:p>
      <w:pPr>
        <w:pStyle w:val="Heading2"/>
      </w:pPr>
      <w:r>
        <w:rPr>
          <w:rFonts w:ascii="Times New Roman" w:hAnsi="Times New Roman"/>
        </w:rPr>
        <w:t>D. Ansprüche der Saalbau Wendelstein gGmbH</w:t>
      </w:r>
    </w:p>
    <w:p>
      <w:pPr>
        <w:pStyle w:val="Heading3"/>
      </w:pPr>
      <w:r>
        <w:rPr>
          <w:rFonts w:ascii="Times New Roman" w:hAnsi="Times New Roman"/>
        </w:rPr>
        <w:t>Nutzungsausfall Lagerhalle</w:t>
      </w:r>
    </w:p>
    <w:p>
      <w:pPr>
        <w:jc w:val="left"/>
      </w:pPr>
      <w:r>
        <w:t>Die Lagerhalle war für Lagerung von Bühnentechnik und Kostümfundus vorgesehen. Die Saalbau muss derzeit externe Lagerräume anmieten:</w:t>
      </w:r>
    </w:p>
    <w:p>
      <w:pPr>
        <w:pStyle w:val="ListBullet"/>
      </w:pPr>
      <w:r>
        <w:t>Anmietung externe Lagerhalle (Logistikzentrum Rosenheim): 4.200 EUR/Monat × 4 Monate = 16.800 EUR (bisher aufgelaufen)</w:t>
      </w:r>
    </w:p>
    <w:p>
      <w:pPr>
        <w:pStyle w:val="ListBullet"/>
      </w:pPr>
      <w:r>
        <w:t>Weitere Monate bis Fertigstellung Lagerhalle: offen</w:t>
      </w:r>
    </w:p>
    <w:p>
      <w:pPr>
        <w:pStyle w:val="Heading3"/>
      </w:pPr>
      <w:r>
        <w:rPr>
          <w:rFonts w:ascii="Times New Roman" w:hAnsi="Times New Roman"/>
        </w:rPr>
        <w:t>Mehraufwand durch Kontaminationsmanagement</w:t>
      </w:r>
    </w:p>
    <w:p>
      <w:pPr>
        <w:pStyle w:val="ListBullet"/>
      </w:pPr>
      <w:r>
        <w:t>Eigene Mitarbeiterkosten (Stefan Vogt, techn. Projektleiter, Mehraufwand 20 Stunden/Woche × 11 Wochen × 55 EUR/Stunde) = 12.100 EUR</w:t>
      </w:r>
    </w:p>
    <w:p>
      <w:pPr>
        <w:pStyle w:val="ListBullet"/>
      </w:pPr>
      <w:r>
        <w:t>Koordinationskosten (externe Anwälte + Gutachter, soweit durch Kontamination verursacht, abzüglich Schlüssel): ca. 18.000 EUR</w:t>
      </w:r>
    </w:p>
    <w:p>
      <w:pPr>
        <w:jc w:val="left"/>
      </w:pPr>
      <w:r>
        <w:rPr>
          <w:i/>
        </w:rPr>
        <w:t>Bearbeiterin: RAin Dr. Henriette Niedermair, Stand 15.05.2026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