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Sachverständigengutachten Riedhof: Zusammenfassung</w:t>
      </w:r>
    </w:p>
    <w:p>
      <w:pPr>
        <w:jc w:val="left"/>
      </w:pPr>
      <w:r>
        <w:rPr>
          <w:b/>
        </w:rPr>
        <w:t>Kanzlei Niedermair Baurecht Rosenheim — AZ NB-2026-0318</w:t>
      </w:r>
    </w:p>
    <w:p>
      <w:pPr>
        <w:jc w:val="left"/>
      </w:pPr>
      <w:r>
        <w:t>Gutachten: SV Dipl.-Ing. Helmut Riedhof, Az. GU-01/2026, Datum: 14.03.2026 (Entwurf); 02.04.2026 (Endfassung)</w:t>
      </w:r>
    </w:p>
    <w:p/>
    <w:p>
      <w:pPr>
        <w:pStyle w:val="Heading2"/>
      </w:pPr>
      <w:r>
        <w:rPr>
          <w:rFonts w:ascii="Times New Roman" w:hAnsi="Times New Roman"/>
        </w:rPr>
        <w:t>A. Auftrag und Auftragsgeber</w:t>
      </w:r>
    </w:p>
    <w:p>
      <w:pPr>
        <w:jc w:val="left"/>
      </w:pPr>
      <w:r>
        <w:rPr>
          <w:b/>
        </w:rPr>
        <w:t>Sachverständiger:</w:t>
      </w:r>
      <w:r>
        <w:t xml:space="preserve"> Dipl.-Ing. Helmut Riedhof</w:t>
      </w:r>
    </w:p>
    <w:p>
      <w:pPr>
        <w:jc w:val="left"/>
      </w:pPr>
      <w:r>
        <w:t>Öffentlich bestellter und vereidigter Sachverständiger für Schäden an Gebäuden</w:t>
      </w:r>
    </w:p>
    <w:p>
      <w:pPr>
        <w:jc w:val="left"/>
      </w:pPr>
      <w:r>
        <w:t>Sachverständigenbüro Riedhof</w:t>
      </w:r>
    </w:p>
    <w:p>
      <w:pPr>
        <w:jc w:val="left"/>
      </w:pPr>
      <w:r>
        <w:t>Am Kirchplatz 3, 83435 Bad Reichenhall</w:t>
      </w:r>
    </w:p>
    <w:p>
      <w:pPr>
        <w:jc w:val="left"/>
      </w:pPr>
      <w:r>
        <w:t>Bestellung: IHK München und Oberbayern, Nr. SV-M-2014-1147</w:t>
      </w:r>
    </w:p>
    <w:p>
      <w:pPr>
        <w:jc w:val="left"/>
      </w:pPr>
      <w:r>
        <w:rPr>
          <w:b/>
        </w:rPr>
        <w:t>Auftraggeberin:</w:t>
      </w:r>
      <w:r>
        <w:t xml:space="preserve"> Saalbau Wendelstein gGmbH, Rosenheim (Privatgutachten)</w:t>
      </w:r>
    </w:p>
    <w:p>
      <w:pPr>
        <w:jc w:val="left"/>
      </w:pPr>
      <w:r>
        <w:rPr>
          <w:b/>
        </w:rPr>
        <w:t>Auftrag erteilt:</w:t>
      </w:r>
      <w:r>
        <w:t xml:space="preserve"> 20. Februar 2026</w:t>
      </w:r>
    </w:p>
    <w:p>
      <w:pPr>
        <w:jc w:val="left"/>
      </w:pPr>
      <w:r>
        <w:rPr>
          <w:b/>
        </w:rPr>
        <w:t>Begehungen:</w:t>
      </w:r>
      <w:r>
        <w:t xml:space="preserve"> 22. Februar 2026 und 01. März 2026</w:t>
      </w:r>
    </w:p>
    <w:p>
      <w:pPr>
        <w:jc w:val="left"/>
      </w:pPr>
      <w:r>
        <w:rPr>
          <w:b/>
        </w:rPr>
        <w:t>Entwurf:</w:t>
      </w:r>
      <w:r>
        <w:t xml:space="preserve"> 14. März 2026 (der Kanzlei vorliegend)</w:t>
      </w:r>
    </w:p>
    <w:p>
      <w:pPr>
        <w:jc w:val="left"/>
      </w:pPr>
      <w:r>
        <w:rPr>
          <w:b/>
        </w:rPr>
        <w:t>Endfassung:</w:t>
      </w:r>
      <w:r>
        <w:t xml:space="preserve"> 02. April 2026</w:t>
      </w:r>
    </w:p>
    <w:p/>
    <w:p>
      <w:pPr>
        <w:pStyle w:val="Heading2"/>
      </w:pPr>
      <w:r>
        <w:rPr>
          <w:rFonts w:ascii="Times New Roman" w:hAnsi="Times New Roman"/>
        </w:rPr>
        <w:t>B. Untersuchungsgegenstand</w:t>
      </w:r>
    </w:p>
    <w:p>
      <w:pPr>
        <w:jc w:val="left"/>
      </w:pPr>
      <w:r>
        <w:t>Das Gutachten bezieht sich auf das Werkstattgebäude (Baukörper 2) des Neubauvorhabens Saalbau Wendelstein gGmbH, Wittelsbacherstraße 102, 83022 Rosenheim, Abschnitt „Neubau Werkstätten und Bühnentechnik".</w:t>
      </w:r>
    </w:p>
    <w:p>
      <w:pPr>
        <w:jc w:val="left"/>
      </w:pPr>
      <w:r>
        <w:t>Untersuchte Bauteile:</w:t>
      </w:r>
    </w:p>
    <w:p>
      <w:pPr>
        <w:pStyle w:val="ListBullet"/>
      </w:pPr>
      <w:r>
        <w:t>Bodenplatte Erdgeschoss (Werkstatt Metalltechnik, ca. 580 m²)</w:t>
      </w:r>
    </w:p>
    <w:p>
      <w:pPr>
        <w:pStyle w:val="ListBullet"/>
      </w:pPr>
      <w:r>
        <w:t>Heizestrich und Fußbodenheizung (Heizkreise 1–4)</w:t>
      </w:r>
    </w:p>
    <w:p>
      <w:pPr>
        <w:pStyle w:val="ListBullet"/>
      </w:pPr>
      <w:r>
        <w:t>Entwässerungsschächte S3 und S7</w:t>
      </w:r>
    </w:p>
    <w:p>
      <w:pPr>
        <w:pStyle w:val="ListBullet"/>
      </w:pPr>
      <w:r>
        <w:t>Kabelschächte</w:t>
      </w:r>
    </w:p>
    <w:p/>
    <w:p>
      <w:pPr>
        <w:pStyle w:val="Heading2"/>
      </w:pPr>
      <w:r>
        <w:rPr>
          <w:rFonts w:ascii="Times New Roman" w:hAnsi="Times New Roman"/>
        </w:rPr>
        <w:t>C. Festgestellte Mängel (Kurzfassung)</w:t>
      </w:r>
    </w:p>
    <w:p>
      <w:pPr>
        <w:pStyle w:val="Heading3"/>
      </w:pPr>
      <w:r>
        <w:rPr>
          <w:rFonts w:ascii="Times New Roman" w:hAnsi="Times New Roman"/>
        </w:rPr>
        <w:t>C.1 Bodenplatte</w:t>
      </w:r>
    </w:p>
    <w:p>
      <w:pPr>
        <w:jc w:val="left"/>
      </w:pPr>
      <w:r>
        <w:rPr>
          <w:b/>
        </w:rPr>
        <w:t>Rissbestandsaufnahme:</w:t>
      </w:r>
    </w:p>
    <w:p>
      <w:pPr>
        <w:pStyle w:val="ListBullet"/>
      </w:pPr>
      <w:r>
        <w:t>14 dokumentierte Risse, fotografiert, gemessen und in Grundrissplan eingetragen</w:t>
      </w:r>
    </w:p>
    <w:p>
      <w:pPr>
        <w:pStyle w:val="ListBullet"/>
      </w:pPr>
      <w:r>
        <w:t>Rissbreiten: 0,2–1,4 mm; mittlere Rissbreite 0,71 mm</w:t>
      </w:r>
    </w:p>
    <w:p>
      <w:pPr>
        <w:pStyle w:val="ListBullet"/>
      </w:pPr>
      <w:r>
        <w:t>6 Risse durchgehend (Bohrkern nachgewiesen, Tiefen 16–25 cm)</w:t>
      </w:r>
    </w:p>
    <w:p>
      <w:pPr>
        <w:pStyle w:val="ListBullet"/>
      </w:pPr>
      <w:r>
        <w:t>Risse überwiegend in Ost-West-Richtung; Konzentrationsbereich ca. 2 m neben Schachtreihe</w:t>
      </w:r>
    </w:p>
    <w:p>
      <w:pPr>
        <w:jc w:val="left"/>
      </w:pPr>
      <w:r>
        <w:rPr>
          <w:b/>
        </w:rPr>
        <w:t>Verdichtungsuntersuchung:</w:t>
      </w:r>
    </w:p>
    <w:p>
      <w:pPr>
        <w:pStyle w:val="ListBullet"/>
      </w:pPr>
      <w:r>
        <w:t>4 Rammkernsondierungen (RKS 1–4) nach DIN EN ISO 22476-3</w:t>
      </w:r>
    </w:p>
    <w:p>
      <w:pPr>
        <w:pStyle w:val="ListBullet"/>
      </w:pPr>
      <w:r>
        <w:t>Lagerungsdichte D: 0,48 / 0,57 / 0,61 / 0,52 (Mittel: 0,545)</w:t>
      </w:r>
    </w:p>
    <w:p>
      <w:pPr>
        <w:pStyle w:val="ListBullet"/>
      </w:pPr>
      <w:r>
        <w:t xml:space="preserve">Vertragliche Anforderung: D ≥ 0,75 — </w:t>
      </w:r>
      <w:r>
        <w:rPr>
          <w:b/>
        </w:rPr>
        <w:t>deutlich unterschritten</w:t>
      </w:r>
    </w:p>
    <w:p>
      <w:pPr>
        <w:jc w:val="left"/>
      </w:pPr>
      <w:r>
        <w:rPr>
          <w:b/>
        </w:rPr>
        <w:t>Bewehrung (Bohrkernanalyse):</w:t>
      </w:r>
    </w:p>
    <w:p>
      <w:pPr>
        <w:pStyle w:val="ListBullet"/>
      </w:pPr>
      <w:r>
        <w:t xml:space="preserve">Betondeckung: gemessen 16–22 mm, Mittel 18 mm (Anforderung cnom 25 mm — </w:t>
      </w:r>
      <w:r>
        <w:rPr>
          <w:b/>
        </w:rPr>
        <w:t>unterschritten</w:t>
      </w:r>
      <w:r>
        <w:t>)</w:t>
      </w:r>
    </w:p>
    <w:p>
      <w:pPr>
        <w:pStyle w:val="ListBullet"/>
      </w:pPr>
      <w:r>
        <w:t xml:space="preserve">Fehlende Randstabbewehrung ⌀ 14 mm im Schachtbereich (Positionsplan Pos. 3.1) — </w:t>
      </w:r>
      <w:r>
        <w:rPr>
          <w:b/>
        </w:rPr>
        <w:t>nicht eingebaut</w:t>
      </w:r>
    </w:p>
    <w:p>
      <w:pPr>
        <w:pStyle w:val="ListBullet"/>
      </w:pPr>
      <w:r>
        <w:t>Betonqualität C 25/30 eingehalten (Würfeldruckfestigkeit Prüfkörper 01.03.2026: 34,2 N/mm²)</w:t>
      </w:r>
    </w:p>
    <w:p>
      <w:pPr>
        <w:jc w:val="left"/>
      </w:pPr>
      <w:r>
        <w:rPr>
          <w:b/>
        </w:rPr>
        <w:t>Kausalität:</w:t>
      </w:r>
    </w:p>
    <w:p>
      <w:pPr>
        <w:jc w:val="left"/>
      </w:pPr>
      <w:r>
        <w:t>Riedhof stellt fest: Die Rissbildung ist kausal auf die mangelhafte Verdichtung des Unterbaus zurückzuführen. Differenzsetzungen von 8–12 mm (Rissufermessungen) sind mit Verdichtungsgrad D 0,55 konsistent. Das Fehlen der Randstabbewehrung hat die Risskontrolle verschlechtert. Die Betonqualität selbst ist nicht ursächlich für die Risse.</w:t>
      </w:r>
    </w:p>
    <w:p>
      <w:pPr>
        <w:pStyle w:val="Heading3"/>
      </w:pPr>
      <w:r>
        <w:rPr>
          <w:rFonts w:ascii="Times New Roman" w:hAnsi="Times New Roman"/>
        </w:rPr>
        <w:t>C.2 Heizestrich und Heizungsanlage</w:t>
      </w:r>
    </w:p>
    <w:p>
      <w:pPr>
        <w:pStyle w:val="ListBullet"/>
      </w:pPr>
      <w:r>
        <w:t>Heizkreis 3 (Metallwerkstatt): vollständig ausgefallen; Manometer zeigt Null-Durchfluss</w:t>
      </w:r>
    </w:p>
    <w:p>
      <w:pPr>
        <w:pStyle w:val="ListBullet"/>
      </w:pPr>
      <w:r>
        <w:t>Thermokamera-Untersuchung bestätigt kein Temperaturprofil im Bereich Heizkreis 3</w:t>
      </w:r>
    </w:p>
    <w:p>
      <w:pPr>
        <w:pStyle w:val="ListBullet"/>
      </w:pPr>
      <w:r>
        <w:t>Verdacht Rohrbruch/-quetschung durch Rissversatz in Bodenplatte</w:t>
      </w:r>
    </w:p>
    <w:p>
      <w:pPr>
        <w:pStyle w:val="ListBullet"/>
      </w:pPr>
      <w:r>
        <w:t xml:space="preserve">Heizkreis 1: Druckverlust 0,2 bar/24h (Grenzwert &lt; 0,1 bar/24h — </w:t>
      </w:r>
      <w:r>
        <w:rPr>
          <w:b/>
        </w:rPr>
        <w:t>nicht bestanden</w:t>
      </w:r>
      <w:r>
        <w:t>)</w:t>
      </w:r>
    </w:p>
    <w:p>
      <w:pPr>
        <w:pStyle w:val="ListBullet"/>
      </w:pPr>
      <w:r>
        <w:t>Heizkreise 2 und 4: betriebsbereit</w:t>
      </w:r>
    </w:p>
    <w:p>
      <w:pPr>
        <w:pStyle w:val="Heading3"/>
      </w:pPr>
      <w:r>
        <w:rPr>
          <w:rFonts w:ascii="Times New Roman" w:hAnsi="Times New Roman"/>
        </w:rPr>
        <w:t>C.3 Schachtabdichtung</w:t>
      </w:r>
    </w:p>
    <w:p>
      <w:pPr>
        <w:pStyle w:val="ListBullet"/>
      </w:pPr>
      <w:r>
        <w:t>Schacht S3: Wassereintritt gemessen 0,28 L/h; fehlende Verstärkungseinlage (Glasgittermatte 300 g/m²) im Anschlussbereich</w:t>
      </w:r>
    </w:p>
    <w:p>
      <w:pPr>
        <w:pStyle w:val="ListBullet"/>
      </w:pPr>
      <w:r>
        <w:t>Schacht S7: Feuchtigkeitsfilm an Außenseite, Fugenöffnung 0,8 mm; Fugenband nicht eingebaut</w:t>
      </w:r>
    </w:p>
    <w:p>
      <w:pPr>
        <w:pStyle w:val="ListBullet"/>
      </w:pPr>
      <w:r>
        <w:t>Abdichtungssystem: PCI Pecilastic aufgebracht, Verstärkungseinlage fehlt → DIN 18533 Teil 2 nicht eingehalten</w:t>
      </w:r>
    </w:p>
    <w:p/>
    <w:p>
      <w:pPr>
        <w:pStyle w:val="Heading2"/>
      </w:pPr>
      <w:r>
        <w:rPr>
          <w:rFonts w:ascii="Times New Roman" w:hAnsi="Times New Roman"/>
        </w:rPr>
        <w:t>D. Kostenschätzung (Mängelbeseitigung)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w:t>
            </w:r>
          </w:p>
        </w:tc>
        <w:tc>
          <w:tcPr>
            <w:tcW w:type="dxa" w:w="4536"/>
          </w:tcPr>
          <w:p>
            <w:r>
              <w:rPr>
                <w:rFonts w:ascii="Times New Roman" w:hAnsi="Times New Roman"/>
                <w:b/>
                <w:sz w:val="20"/>
              </w:rPr>
              <w:t>Kostenschätzung netto</w:t>
            </w:r>
          </w:p>
        </w:tc>
      </w:tr>
      <w:tr>
        <w:tc>
          <w:tcPr>
            <w:tcW w:type="dxa" w:w="4536"/>
          </w:tcPr>
          <w:p>
            <w:r>
              <w:rPr>
                <w:rFonts w:ascii="Times New Roman" w:hAnsi="Times New Roman"/>
                <w:sz w:val="20"/>
              </w:rPr>
              <w:t>Rissinjektionsverpressung (14 Risse, Epoxidinjektionen)</w:t>
            </w:r>
          </w:p>
        </w:tc>
        <w:tc>
          <w:tcPr>
            <w:tcW w:type="dxa" w:w="4536"/>
          </w:tcPr>
          <w:p>
            <w:r>
              <w:rPr>
                <w:rFonts w:ascii="Times New Roman" w:hAnsi="Times New Roman"/>
                <w:sz w:val="20"/>
              </w:rPr>
              <w:t>27.800 EUR</w:t>
            </w:r>
          </w:p>
        </w:tc>
      </w:tr>
      <w:tr>
        <w:tc>
          <w:tcPr>
            <w:tcW w:type="dxa" w:w="4536"/>
          </w:tcPr>
          <w:p>
            <w:r>
              <w:rPr>
                <w:rFonts w:ascii="Times New Roman" w:hAnsi="Times New Roman"/>
                <w:sz w:val="20"/>
              </w:rPr>
              <w:t>Bohrkern-Nachuntersuchung und Monitoring (6 Monate)</w:t>
            </w:r>
          </w:p>
        </w:tc>
        <w:tc>
          <w:tcPr>
            <w:tcW w:type="dxa" w:w="4536"/>
          </w:tcPr>
          <w:p>
            <w:r>
              <w:rPr>
                <w:rFonts w:ascii="Times New Roman" w:hAnsi="Times New Roman"/>
                <w:sz w:val="20"/>
              </w:rPr>
              <w:t>8.400 EUR</w:t>
            </w:r>
          </w:p>
        </w:tc>
      </w:tr>
      <w:tr>
        <w:tc>
          <w:tcPr>
            <w:tcW w:type="dxa" w:w="4536"/>
          </w:tcPr>
          <w:p>
            <w:r>
              <w:rPr>
                <w:rFonts w:ascii="Times New Roman" w:hAnsi="Times New Roman"/>
                <w:sz w:val="20"/>
              </w:rPr>
              <w:t>Neuverlegung Heizkreis 3: Estrichabriss (180 m²) + Neuaufbau (Estrich + Heizung)</w:t>
            </w:r>
          </w:p>
        </w:tc>
        <w:tc>
          <w:tcPr>
            <w:tcW w:type="dxa" w:w="4536"/>
          </w:tcPr>
          <w:p>
            <w:r>
              <w:rPr>
                <w:rFonts w:ascii="Times New Roman" w:hAnsi="Times New Roman"/>
                <w:sz w:val="20"/>
              </w:rPr>
              <w:t>87.200 EUR</w:t>
            </w:r>
          </w:p>
        </w:tc>
      </w:tr>
      <w:tr>
        <w:tc>
          <w:tcPr>
            <w:tcW w:type="dxa" w:w="4536"/>
          </w:tcPr>
          <w:p>
            <w:r>
              <w:rPr>
                <w:rFonts w:ascii="Times New Roman" w:hAnsi="Times New Roman"/>
                <w:sz w:val="20"/>
              </w:rPr>
              <w:t>Drucktestwiederholung und Instandsetzung Heizkreis 1</w:t>
            </w:r>
          </w:p>
        </w:tc>
        <w:tc>
          <w:tcPr>
            <w:tcW w:type="dxa" w:w="4536"/>
          </w:tcPr>
          <w:p>
            <w:r>
              <w:rPr>
                <w:rFonts w:ascii="Times New Roman" w:hAnsi="Times New Roman"/>
                <w:sz w:val="20"/>
              </w:rPr>
              <w:t>6.800 EUR</w:t>
            </w:r>
          </w:p>
        </w:tc>
      </w:tr>
      <w:tr>
        <w:tc>
          <w:tcPr>
            <w:tcW w:type="dxa" w:w="4536"/>
          </w:tcPr>
          <w:p>
            <w:r>
              <w:rPr>
                <w:rFonts w:ascii="Times New Roman" w:hAnsi="Times New Roman"/>
                <w:sz w:val="20"/>
              </w:rPr>
              <w:t>Abdichtungssanierung Schacht S3 (innen + außen)</w:t>
            </w:r>
          </w:p>
        </w:tc>
        <w:tc>
          <w:tcPr>
            <w:tcW w:type="dxa" w:w="4536"/>
          </w:tcPr>
          <w:p>
            <w:r>
              <w:rPr>
                <w:rFonts w:ascii="Times New Roman" w:hAnsi="Times New Roman"/>
                <w:sz w:val="20"/>
              </w:rPr>
              <w:t>11.400 EUR</w:t>
            </w:r>
          </w:p>
        </w:tc>
      </w:tr>
      <w:tr>
        <w:tc>
          <w:tcPr>
            <w:tcW w:type="dxa" w:w="4536"/>
          </w:tcPr>
          <w:p>
            <w:r>
              <w:rPr>
                <w:rFonts w:ascii="Times New Roman" w:hAnsi="Times New Roman"/>
                <w:sz w:val="20"/>
              </w:rPr>
              <w:t>Abdichtungssanierung Schacht S7</w:t>
            </w:r>
          </w:p>
        </w:tc>
        <w:tc>
          <w:tcPr>
            <w:tcW w:type="dxa" w:w="4536"/>
          </w:tcPr>
          <w:p>
            <w:r>
              <w:rPr>
                <w:rFonts w:ascii="Times New Roman" w:hAnsi="Times New Roman"/>
                <w:sz w:val="20"/>
              </w:rPr>
              <w:t>7.100 EUR</w:t>
            </w:r>
          </w:p>
        </w:tc>
      </w:tr>
      <w:tr>
        <w:tc>
          <w:tcPr>
            <w:tcW w:type="dxa" w:w="4536"/>
          </w:tcPr>
          <w:p>
            <w:r>
              <w:rPr>
                <w:rFonts w:ascii="Times New Roman" w:hAnsi="Times New Roman"/>
                <w:sz w:val="20"/>
              </w:rPr>
              <w:t>Sachverständigenkosten Überwachung Mängelbeseitigung</w:t>
            </w:r>
          </w:p>
        </w:tc>
        <w:tc>
          <w:tcPr>
            <w:tcW w:type="dxa" w:w="4536"/>
          </w:tcPr>
          <w:p>
            <w:r>
              <w:rPr>
                <w:rFonts w:ascii="Times New Roman" w:hAnsi="Times New Roman"/>
                <w:sz w:val="20"/>
              </w:rPr>
              <w:t>9.500 EUR</w:t>
            </w:r>
          </w:p>
        </w:tc>
      </w:tr>
      <w:tr>
        <w:tc>
          <w:tcPr>
            <w:tcW w:type="dxa" w:w="4536"/>
          </w:tcPr>
          <w:p>
            <w:r>
              <w:rPr>
                <w:rFonts w:ascii="Times New Roman" w:hAnsi="Times New Roman"/>
                <w:sz w:val="20"/>
              </w:rPr>
              <w:t>Nutzungsausfallschaden Metallwerkstatt (11 Wochen Totalausfall)</w:t>
            </w:r>
          </w:p>
        </w:tc>
        <w:tc>
          <w:tcPr>
            <w:tcW w:type="dxa" w:w="4536"/>
          </w:tcPr>
          <w:p>
            <w:r>
              <w:rPr>
                <w:rFonts w:ascii="Times New Roman" w:hAnsi="Times New Roman"/>
                <w:sz w:val="20"/>
              </w:rPr>
              <w:t>22.000 EUR</w:t>
            </w:r>
          </w:p>
        </w:tc>
      </w:tr>
      <w:tr>
        <w:tc>
          <w:tcPr>
            <w:tcW w:type="dxa" w:w="4536"/>
          </w:tcPr>
          <w:p>
            <w:r>
              <w:rPr>
                <w:rFonts w:ascii="Times New Roman" w:hAnsi="Times New Roman"/>
                <w:b/>
                <w:sz w:val="20"/>
              </w:rPr>
              <w:t>Gesamt netto (Riedhof-Schätzung)</w:t>
            </w:r>
          </w:p>
        </w:tc>
        <w:tc>
          <w:tcPr>
            <w:tcW w:type="dxa" w:w="4536"/>
          </w:tcPr>
          <w:p>
            <w:r>
              <w:rPr>
                <w:rFonts w:ascii="Times New Roman" w:hAnsi="Times New Roman"/>
                <w:b/>
                <w:sz w:val="20"/>
              </w:rPr>
              <w:t>180.200 EUR</w:t>
            </w:r>
          </w:p>
        </w:tc>
      </w:tr>
    </w:tbl>
    <w:p/>
    <w:p>
      <w:pPr>
        <w:pStyle w:val="Heading2"/>
      </w:pPr>
      <w:r>
        <w:rPr>
          <w:rFonts w:ascii="Times New Roman" w:hAnsi="Times New Roman"/>
        </w:rPr>
        <w:t>E. Rechtliches Ergebnis lt. SV</w:t>
      </w:r>
    </w:p>
    <w:p>
      <w:pPr>
        <w:jc w:val="left"/>
      </w:pPr>
      <w:r>
        <w:t xml:space="preserve">Riedhof bewertet die Rissbildung und die damit verbundenen Folgeschäden als </w:t>
      </w:r>
      <w:r>
        <w:rPr>
          <w:b/>
        </w:rPr>
        <w:t>wesentliche Werkmängel</w:t>
      </w:r>
      <w:r>
        <w:t xml:space="preserve"> i.S.d. § 13 Abs. 1 VOB/B:</w:t>
      </w:r>
    </w:p>
    <w:p>
      <w:pPr>
        <w:ind w:left="567"/>
      </w:pPr>
      <w:r>
        <w:rPr>
          <w:i/>
        </w:rPr>
        <w:t>„Die festgestellten Schäden an der Bodenplatte, dem Heizestrich und den Schächten sind auf Ausführungsmängel zurückzuführen, die durch sachgerechte Bauüberwachung und Kontrolle hätten verhindert werden können. Die Werkstatt ist derzeit nur eingeschränkt nutzbar. Die Mängel übersteigen das Maß unvermeidlicher Bauunvollkommenheiten erheblich."</w:t>
      </w:r>
    </w:p>
    <w:p>
      <w:pPr>
        <w:jc w:val="left"/>
      </w:pPr>
      <w:r>
        <w:t>Das Gutachten liegt als Anlage A1 zu den Akten.</w:t>
      </w:r>
    </w:p>
    <w:p/>
    <w:p>
      <w:pPr>
        <w:pStyle w:val="Heading2"/>
      </w:pPr>
      <w:r>
        <w:rPr>
          <w:rFonts w:ascii="Times New Roman" w:hAnsi="Times New Roman"/>
        </w:rPr>
        <w:t>F. Stellungnahme der Kanzlei zum Gutachten</w:t>
      </w:r>
    </w:p>
    <w:p>
      <w:pPr>
        <w:jc w:val="left"/>
      </w:pPr>
      <w:r>
        <w:t>Das Privatgutachten Riedhof ist methodisch solide und in der Kausalkette nachvollziehbar. Die Dokumentation (Fotos, Rissplan, Sondierergebnisse, Bohrkerndaten) erfüllt die Anforderungen an ein gerichtsverwertbares Privatgutachten. Es wird als Basis für das selbstständige Beweisverfahren und die Klageschrift verwendet.</w:t>
      </w:r>
    </w:p>
    <w:p>
      <w:pPr>
        <w:jc w:val="left"/>
      </w:pPr>
      <w:r>
        <w:t>Die Kanzlei empfiehlt, die Kostenschätzung Riedhof (180.200 EUR) als Ausgangspunkt für die Klageforderung zu nehmen; endgültige Bezifferung erst nach gerichtlichem Sachverständigengutachten im Hauptsacheverfahren.</w:t>
      </w:r>
    </w:p>
    <w:p>
      <w:pPr>
        <w:jc w:val="left"/>
      </w:pPr>
      <w:r>
        <w:rPr>
          <w:i/>
        </w:rPr>
        <w:t>Bearbeiterin: RAin Dr. Henriette Niedermair, Stand 05.04.2026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