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13 — Analyse Sanierungsanordnung LRA Rosenheim</w:t>
      </w:r>
    </w:p>
    <w:p>
      <w:pPr>
        <w:jc w:val="left"/>
      </w:pPr>
      <w:r>
        <w:rPr>
          <w:b/>
        </w:rPr>
        <w:t>Kanzlei Niedermair Baurecht Rosenheim — AZ NB-2026-0318</w:t>
      </w:r>
    </w:p>
    <w:p>
      <w:pPr>
        <w:jc w:val="left"/>
      </w:pPr>
      <w:r>
        <w:t>Bezug: Sanierungsanordnung LRA Rosenheim, Az. 33-Bo-2026-117 vom 12.02.2026</w:t>
      </w:r>
    </w:p>
    <w:p/>
    <w:p>
      <w:pPr>
        <w:pStyle w:val="Heading2"/>
      </w:pPr>
      <w:r>
        <w:rPr>
          <w:rFonts w:ascii="Times New Roman" w:hAnsi="Times New Roman"/>
        </w:rPr>
        <w:t>A. Die Anordnung im Wortlaut (Wesentliche Passagen)</w:t>
      </w:r>
    </w:p>
    <w:p>
      <w:pPr>
        <w:jc w:val="left"/>
      </w:pPr>
      <w:r>
        <w:rPr>
          <w:b/>
        </w:rPr>
        <w:t>Landratsamt Rosenheim</w:t>
      </w:r>
    </w:p>
    <w:p>
      <w:pPr>
        <w:jc w:val="left"/>
      </w:pPr>
      <w:r>
        <w:t>Umwelt- und Naturschutz</w:t>
      </w:r>
    </w:p>
    <w:p>
      <w:pPr>
        <w:jc w:val="left"/>
      </w:pPr>
      <w:r>
        <w:t>Wittelsbacherstraße 53</w:t>
      </w:r>
    </w:p>
    <w:p>
      <w:pPr>
        <w:jc w:val="left"/>
      </w:pPr>
      <w:r>
        <w:t>83022 Rosenheim</w:t>
      </w:r>
    </w:p>
    <w:p>
      <w:pPr>
        <w:jc w:val="left"/>
      </w:pPr>
      <w:r>
        <w:t>Aktenzeichen: 33-Bo-2026-117</w:t>
      </w:r>
    </w:p>
    <w:p>
      <w:pPr>
        <w:jc w:val="left"/>
      </w:pPr>
      <w:r>
        <w:t>Rosenheim, 12. Februar 2026</w:t>
      </w:r>
    </w:p>
    <w:p>
      <w:pPr>
        <w:jc w:val="left"/>
      </w:pPr>
      <w:r>
        <w:rPr>
          <w:b/>
        </w:rPr>
        <w:t>Saalbau Wendelstein gGmbH</w:t>
      </w:r>
    </w:p>
    <w:p>
      <w:pPr>
        <w:jc w:val="left"/>
      </w:pPr>
      <w:r>
        <w:t>Wittelsbacherstraße 102</w:t>
      </w:r>
    </w:p>
    <w:p>
      <w:pPr>
        <w:jc w:val="left"/>
      </w:pPr>
      <w:r>
        <w:t>83022 Rosenheim</w:t>
      </w:r>
    </w:p>
    <w:p>
      <w:pPr>
        <w:jc w:val="left"/>
      </w:pPr>
      <w:r>
        <w:rPr>
          <w:b/>
        </w:rPr>
        <w:t>Betr.: Sanierungsanordnung nach § 10 Abs. 1 BBodSchG</w:t>
      </w:r>
    </w:p>
    <w:p>
      <w:pPr>
        <w:jc w:val="left"/>
      </w:pPr>
      <w:r>
        <w:rPr>
          <w:b/>
        </w:rPr>
        <w:t>Betr.: Altlastenverdachtsfläche Wittelsbacherstraße 102, Rosenheim (ehem. Drahtspinnerei Steinhauser)</w:t>
      </w:r>
    </w:p>
    <w:p/>
    <w:p>
      <w:pPr>
        <w:jc w:val="left"/>
      </w:pPr>
      <w:r>
        <w:rPr>
          <w:b/>
        </w:rPr>
        <w:t>Tenor (Auszug):</w:t>
      </w:r>
    </w:p>
    <w:p>
      <w:pPr>
        <w:pStyle w:val="ListNumber"/>
      </w:pPr>
      <w:r>
        <w:t xml:space="preserve">Die Saalbau Wendelstein gGmbH wird verpflichtet, auf dem Grundstück Flst.-Nr. 1248/3, Gemarkung Rosenheim-West (Wittelsbacherstraße 102), unverzüglich mit der Durchführung einer </w:t>
      </w:r>
      <w:r>
        <w:rPr>
          <w:b/>
        </w:rPr>
        <w:t>Detailuntersuchung</w:t>
      </w:r>
      <w:r>
        <w:t xml:space="preserve"> gemäß § 2 Nr. 4 BBodSchV zu beginnen und das Ergebnis der Detailuntersuchung dem Landratsamt Rosenheim, Umweltamt, innerhalb von </w:t>
      </w:r>
      <w:r>
        <w:rPr>
          <w:b/>
        </w:rPr>
        <w:t>acht Wochen</w:t>
      </w:r>
      <w:r>
        <w:t xml:space="preserve"> nach Zustellung dieser Anordnung vorzulegen (Vorlagefrist: 09. April 2026).</w:t>
      </w:r>
    </w:p>
    <w:p>
      <w:pPr>
        <w:pStyle w:val="ListNumber"/>
      </w:pPr>
      <w:r>
        <w:t xml:space="preserve">Bis zur Vorlage der Detailuntersuchung ist der Aushubbereich des Lagerhallen-Fundaments (Baukörper 3 gemäß Genehmigungsplanung) zu </w:t>
      </w:r>
      <w:r>
        <w:rPr>
          <w:b/>
        </w:rPr>
        <w:t>sichern</w:t>
      </w:r>
      <w:r>
        <w:t xml:space="preserve"> und kein weiterer Erdaushub ohne schriftliche Zustimmung des Landratsamts Rosenheim vorzunehmen.</w:t>
      </w:r>
    </w:p>
    <w:p>
      <w:pPr>
        <w:pStyle w:val="ListNumber"/>
      </w:pPr>
      <w:r>
        <w:t xml:space="preserve">Nach Vorliegen der Detailuntersuchung ist innerhalb weiterer </w:t>
      </w:r>
      <w:r>
        <w:rPr>
          <w:b/>
        </w:rPr>
        <w:t>zehn Wochen</w:t>
      </w:r>
      <w:r>
        <w:t xml:space="preserve"> ein </w:t>
      </w:r>
      <w:r>
        <w:rPr>
          <w:b/>
        </w:rPr>
        <w:t>Sanierungsplan</w:t>
      </w:r>
      <w:r>
        <w:t xml:space="preserve"> nach § 13 BBodSchG vorzulegen, der folgende Elemente enthält:</w:t>
      </w:r>
    </w:p>
    <w:p>
      <w:pPr>
        <w:jc w:val="left"/>
      </w:pPr>
      <w:r>
        <w:t>a) Beschreibung des Schadstoffherd und Schadstoffausbreitung</w:t>
      </w:r>
    </w:p>
    <w:p>
      <w:pPr>
        <w:jc w:val="left"/>
      </w:pPr>
      <w:r>
        <w:t>b) Sanierungsziele entsprechend den Maßnahmenwerten nach Anhang 2 BBodSchV (Nutzung: Gewerbe)</w:t>
      </w:r>
    </w:p>
    <w:p>
      <w:pPr>
        <w:jc w:val="left"/>
      </w:pPr>
      <w:r>
        <w:t>c) Sanierungsmaßnahmen und Zeitplan</w:t>
      </w:r>
    </w:p>
    <w:p>
      <w:pPr>
        <w:jc w:val="left"/>
      </w:pPr>
      <w:r>
        <w:t>d) Kosten- und Finanzierungsplan</w:t>
      </w:r>
    </w:p>
    <w:p>
      <w:pPr>
        <w:pStyle w:val="ListNumber"/>
      </w:pPr>
      <w:r>
        <w:t>Die sofortige Vollziehung dieser Anordnung wird gemäß § 80 Abs. 2 Nr. 4 VwGO angeordnet.</w:t>
      </w:r>
    </w:p>
    <w:p>
      <w:pPr>
        <w:pStyle w:val="ListNumber"/>
      </w:pPr>
      <w:r>
        <w:t>Für den Fall der Nichtbeachtung der Fristen nach Ziffer 1 und 3 wird ein Zwangsgeld von jeweils 15.000 EUR angedroht.</w:t>
      </w:r>
    </w:p>
    <w:p>
      <w:pPr>
        <w:jc w:val="left"/>
      </w:pPr>
      <w:r>
        <w:rPr>
          <w:b/>
        </w:rPr>
        <w:t>Begründung (Auszug):</w:t>
      </w:r>
    </w:p>
    <w:p>
      <w:pPr>
        <w:jc w:val="left"/>
      </w:pPr>
      <w:r>
        <w:t>Das Landratsamt hat durch Laboranalysen vom 04. Februar 2026 (Prüfbericht BayBoden Az. 2026-RO-0214) festgestellt, dass im Bereich der Baustelle Baukörper 3 erhebliche Schadstoffbelastungen vorliegen. Die Messwerte für Cyanide (CN⁻), Kupfer (Cu), Nickel (Ni), Zink (Zn), PAK und MKW überschreiten die Maßnahmenwerte der BBodSchV Anhang 2, Tabelle 1 erheblich.</w:t>
      </w:r>
    </w:p>
    <w:p>
      <w:pPr>
        <w:jc w:val="left"/>
      </w:pPr>
      <w:r>
        <w:t>Die Saalbau Wendelstein gGmbH ist als Inhaberin der tatsächlichen Sachherrschaft (Erbbauberechtigte) Zustandsverantwortliche im Sinne von § 4 Abs. 3 BBodSchG. Sie ist daher zur Untersuchung und Sanierung verpflichtet.</w:t>
      </w:r>
    </w:p>
    <w:p>
      <w:pPr>
        <w:jc w:val="left"/>
      </w:pPr>
      <w:r>
        <w:rPr>
          <w:b/>
        </w:rPr>
        <w:t>Rechtsgrundlage:</w:t>
      </w:r>
      <w:r>
        <w:t xml:space="preserve"> §§ 4 Abs. 3, 9 Abs. 2, 10 Abs. 1, 13 BBodSchG; § 2 Nr. 4 BBodSchV; Art. 7 ff. BayBodSchG.</w:t>
      </w:r>
    </w:p>
    <w:p/>
    <w:p>
      <w:pPr>
        <w:pStyle w:val="Heading2"/>
      </w:pPr>
      <w:r>
        <w:rPr>
          <w:rFonts w:ascii="Times New Roman" w:hAnsi="Times New Roman"/>
        </w:rPr>
        <w:t>B. Rechtliche Bewertung der Anordnung</w:t>
      </w:r>
    </w:p>
    <w:p>
      <w:pPr>
        <w:pStyle w:val="Heading3"/>
      </w:pPr>
      <w:r>
        <w:rPr>
          <w:rFonts w:ascii="Times New Roman" w:hAnsi="Times New Roman"/>
        </w:rPr>
        <w:t>B.1 Formelle Rechtmäßigkeit</w:t>
      </w:r>
    </w:p>
    <w:p>
      <w:pPr>
        <w:jc w:val="left"/>
      </w:pPr>
      <w:r>
        <w:rPr>
          <w:b/>
        </w:rPr>
        <w:t>Zuständigkeit:</w:t>
      </w:r>
      <w:r>
        <w:t xml:space="preserve"> Das Landratsamt Rosenheim ist sachlich zuständig gemäß Art. 12 BayBodSchG (Kreisverwaltungsbehörden als Vollzugsbehörde für BBodSchG). Örtliche Zuständigkeit: gegeben (Grundstück im Landkreis Rosenheim).</w:t>
      </w:r>
    </w:p>
    <w:p>
      <w:pPr>
        <w:jc w:val="left"/>
      </w:pPr>
      <w:r>
        <w:rPr>
          <w:b/>
        </w:rPr>
        <w:t>Anhörung:</w:t>
      </w:r>
      <w:r>
        <w:t xml:space="preserve"> Eine Anhörung nach Art. 28 Abs. 1 BayVwVfG ist vor Erlass der Anordnung nicht erfolgt. Das Umweltamt beruft sich auf Dringlichkeit (§ 28 Abs. 2 Nr. 1 BayVwVfG). Die fehlende Anhörung kann im Widerspruchsverfahren geheilt werden (Art. 45 Abs. 1 Nr. 3 BayVwVfG).</w:t>
      </w:r>
    </w:p>
    <w:p>
      <w:pPr>
        <w:jc w:val="left"/>
      </w:pPr>
      <w:r>
        <w:rPr>
          <w:b/>
        </w:rPr>
        <w:t>Anordnung sofortiger Vollziehung:</w:t>
      </w:r>
      <w:r>
        <w:t xml:space="preserve"> Die Begründung des besonderen öffentlichen Interesses an der sofortigen Vollziehung (§ 80 Abs. 3 VwGO) ist im Bescheid nur formelhaft enthalten. Dies bietet Angriffspunkte für einen Antrag auf aufschiebende Wirkung gemäß § 80 Abs. 5 VwGO.</w:t>
      </w:r>
    </w:p>
    <w:p>
      <w:pPr>
        <w:pStyle w:val="Heading3"/>
      </w:pPr>
      <w:r>
        <w:rPr>
          <w:rFonts w:ascii="Times New Roman" w:hAnsi="Times New Roman"/>
        </w:rPr>
        <w:t>B.2 Materielle Rechtmäßigkeit</w:t>
      </w:r>
    </w:p>
    <w:p>
      <w:pPr>
        <w:jc w:val="left"/>
      </w:pPr>
      <w:r>
        <w:rPr>
          <w:b/>
        </w:rPr>
        <w:t>Adressatenwahl:</w:t>
      </w:r>
      <w:r>
        <w:t xml:space="preserve"> Die Anordnung richtet sich ausschließlich an die Saalbau Wendelstein gGmbH als Zustandsverantwortliche. Die Stadt Rosenheim als Grundstückseigentümerin und potenzielle Handlungs- und Zustandsverantwortliche (als Rechtsnachfolgerin/Behörde) wird nicht herangezogen. Dies ist angreifbar: Gemäß § 4 Abs. 3 BBodSchG sind mehrere Verpflichtete nebeneinander heranzuziehen; die Behörde hat Ermessen (vgl. BVerwG, Urt. v. 16.05.2000 – 3 C 2/00, BVerwGE 111, 162).</w:t>
      </w:r>
    </w:p>
    <w:p>
      <w:pPr>
        <w:jc w:val="left"/>
      </w:pPr>
      <w:r>
        <w:rPr>
          <w:b/>
        </w:rPr>
        <w:t>Verhältnismäßigkeit:</w:t>
      </w:r>
      <w:r>
        <w:t xml:space="preserve"> Die angeordnete Detailuntersuchung und der Sanierungsplan sind verhältnismäßig. Die Fristen (8 + 10 Wochen) sind angesichts der Schadstoffkonzentrationen nicht unangemessen kurz, aber ggf. verlängerungsfähig.</w:t>
      </w:r>
    </w:p>
    <w:p>
      <w:pPr>
        <w:pStyle w:val="Heading3"/>
      </w:pPr>
      <w:r>
        <w:rPr>
          <w:rFonts w:ascii="Times New Roman" w:hAnsi="Times New Roman"/>
        </w:rPr>
        <w:t>B.3 Widerspruch</w:t>
      </w:r>
    </w:p>
    <w:p>
      <w:pPr>
        <w:jc w:val="left"/>
      </w:pPr>
      <w:r>
        <w:t>Die Kanzlei hat am 28. Februar 2026 Widerspruch gegen die Sanierungsanordnung eingelegt (fristgerecht innerhalb eines Monats, Art. 70 Abs. 1 BayVwVfG). Widerspruchsgründe:</w:t>
      </w:r>
    </w:p>
    <w:p>
      <w:pPr>
        <w:pStyle w:val="ListNumber"/>
      </w:pPr>
      <w:r>
        <w:t>Verletzung des Anhörungsrechts (Art. 28 BayVwVfG)</w:t>
      </w:r>
    </w:p>
    <w:p>
      <w:pPr>
        <w:pStyle w:val="ListNumber"/>
      </w:pPr>
      <w:r>
        <w:t>Ermessensfehler bei der Adressatenauswahl (Stadt Rosenheim nicht herangezogen)</w:t>
      </w:r>
    </w:p>
    <w:p>
      <w:pPr>
        <w:pStyle w:val="ListNumber"/>
      </w:pPr>
      <w:r>
        <w:t>Mangelnde Begründung der sofortigen Vollziehung (§ 80 Abs. 3 VwGO)</w:t>
      </w:r>
    </w:p>
    <w:p>
      <w:pPr>
        <w:jc w:val="left"/>
      </w:pPr>
      <w:r>
        <w:t>Antrag auf aufschiebende Wirkung gemäß § 80 Abs. 5 VwGO: wurde am 02. März 2026 beim VG München gestellt. Das VG hat den Antrag mit Beschluss vom 20. März 2026 abgelehnt: Das öffentliche Interesse an der Bodenkontaminationsbeseitigung überwiege. Die Anordnung sofortiger Vollziehung sei ausreichend begründet.</w:t>
      </w:r>
    </w:p>
    <w:p/>
    <w:p>
      <w:pPr>
        <w:pStyle w:val="Heading2"/>
      </w:pPr>
      <w:r>
        <w:rPr>
          <w:rFonts w:ascii="Times New Roman" w:hAnsi="Times New Roman"/>
        </w:rPr>
        <w:t>C. Detailuntersuchung (Status)</w:t>
      </w:r>
    </w:p>
    <w:p>
      <w:pPr>
        <w:jc w:val="left"/>
      </w:pPr>
      <w:r>
        <w:t>GEOplus GmbH, Rosenheim, wurde am 18. März 2026 mit der Detailuntersuchung beauftragt. Die Vorlagefrist (09. April 2026) konnte nicht eingehalten werden — aufgrund der Komplexität der Bodenverhältnisse und notwendiger Laborzeiten wurde beim LRA Verlängerung um 6 Wochen beantragt (09. Mai 2026). Das LRA hat mit Schreiben vom 14. April 2026 eine Verlängerung bis 31. Mai 2026 gewährt.</w:t>
      </w:r>
    </w:p>
    <w:p>
      <w:pPr>
        <w:jc w:val="left"/>
      </w:pPr>
      <w:r>
        <w:rPr>
          <w:b/>
        </w:rPr>
        <w:t>Ergebnis der Detailuntersuchung:</w:t>
      </w:r>
      <w:r>
        <w:t xml:space="preserve"> Steht noch aus (Stand dieser Akte).</w:t>
      </w:r>
    </w:p>
    <w:p/>
    <w:p>
      <w:pPr>
        <w:pStyle w:val="Heading2"/>
      </w:pPr>
      <w:r>
        <w:rPr>
          <w:rFonts w:ascii="Times New Roman" w:hAnsi="Times New Roman"/>
        </w:rPr>
        <w:t>D. Kostentragung und Regressweg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Schritt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Maßnahme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Zuständigkeit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Detailuntersuchung (DU)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Saalbau Wendelstein gGmbH (vorfinanziert)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Sanierungsplan § 13 BBodSchG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Saalbau Wendelstein gGmbH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Bodenaushub und Entsorgung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Saalbau Wendelstein gGmbH (vorfinanziert)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Regress gegen Stadt Rosenheim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Saalbau Wendelstein gGmbH (zivilrechtlich)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Regress gegen Bauer-Hoch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Saalbau Wendelstein gGmbH (soweit GU Kontamination ausgebreitet)</w:t>
            </w:r>
          </w:p>
        </w:tc>
      </w:tr>
    </w:tbl>
    <w:p>
      <w:pPr>
        <w:jc w:val="left"/>
      </w:pPr>
      <w:r>
        <w:t>Die Saalbau Wendelstein gGmbH kann gegenüber der Stadt Rosenheim Ausgleichsansprüche nach § 24 Abs. 2 BBodSchG geltend machen (Gesamtschuldnerausgleich zwischen mehreren Verpflichteten). Dies setzt voraus, dass die Stadt tatsächlich als Verpflichtete anzusehen ist, was bei Grundstückseigentümern regelmäßig gilt.</w:t>
      </w:r>
    </w:p>
    <w:p>
      <w:pPr>
        <w:jc w:val="left"/>
      </w:pPr>
      <w:r>
        <w:t>Zusätzlich kommen zivilrechtliche Schadensersatzansprüche (§§ 433, 434, 280 BGB analog Erbbaurecht; c.i.c.) gegen die Stadt Rosenheim in Betracht.</w:t>
      </w:r>
    </w:p>
    <w:p>
      <w:pPr>
        <w:jc w:val="left"/>
      </w:pPr>
      <w:r>
        <w:rPr>
          <w:i/>
        </w:rPr>
        <w:t>Bearbeiterin: RAin Dr. Henriette Niedermair, Stand 01.04.2026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