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Verhandlung Schiedsgutachterbenennung</w:t>
      </w:r>
    </w:p>
    <w:p>
      <w:pPr>
        <w:jc w:val="left"/>
      </w:pPr>
      <w:r>
        <w:rPr>
          <w:b/>
        </w:rPr>
        <w:t>Kanzlei Niedermair Baurecht Rosenheim — AZ NB-2026-0318</w:t>
      </w:r>
    </w:p>
    <w:p/>
    <w:p>
      <w:pPr>
        <w:pStyle w:val="Heading2"/>
      </w:pPr>
      <w:r>
        <w:rPr>
          <w:rFonts w:ascii="Times New Roman" w:hAnsi="Times New Roman"/>
        </w:rPr>
        <w:t>A. Ausgangslage und bisheriger Schriftwechsel</w:t>
      </w:r>
    </w:p>
    <w:p>
      <w:pPr>
        <w:jc w:val="left"/>
      </w:pPr>
      <w:r>
        <w:t xml:space="preserve">Bauer-Hoch hatte mit Schreiben vom 05.05.2026 die Einleitung des Schiedsgutachterverfahrens nach § 17.1 GU-Vertrag beantragt und </w:t>
      </w:r>
      <w:r>
        <w:rPr>
          <w:b/>
        </w:rPr>
        <w:t>Dipl.-Ing. (FH) Wolfgang Grünhagen</w:t>
      </w:r>
      <w:r>
        <w:t xml:space="preserve"> als Schiedsgutachter vorgeschlagen.</w:t>
      </w:r>
    </w:p>
    <w:p>
      <w:pPr>
        <w:jc w:val="left"/>
      </w:pPr>
      <w:r>
        <w:t>Die Kanzlei Niedermair lehnte diesen Vorschlag mit Schreiben vom 15.05.2026 ab:</w:t>
      </w:r>
    </w:p>
    <w:p>
      <w:pPr>
        <w:ind w:left="567"/>
      </w:pPr>
      <w:r>
        <w:rPr>
          <w:i/>
        </w:rPr>
        <w:t>„Der Vorgeschlagene ist öffentlich bestellter Sachverständiger für das Maurerhandwerk. Die Kernfragen des Schiedsgutachtens betreffen die Verdichtungsqualität von Schotterbetten (Geotechnik/Bodenmechanik) und die Bewehrungsausführung von Stahlbetonbodenplatten (Betonbau/Baustatik). Eine ausreichende Sachkunde für diese hochspezialisierten Fragen hat Herr Grünhagen nicht dargetan."</w:t>
      </w:r>
    </w:p>
    <w:p>
      <w:pPr>
        <w:jc w:val="left"/>
      </w:pPr>
      <w:r>
        <w:t>Bauer-Hoch reagierte am 22.05.2026 und erklärte, an Grünhagen festzuhalten, da er als allgemeiner Bausachverständiger für diese Fragen hinreichend qualifiziert sei.</w:t>
      </w:r>
    </w:p>
    <w:p/>
    <w:p>
      <w:pPr>
        <w:pStyle w:val="Heading2"/>
      </w:pPr>
      <w:r>
        <w:rPr>
          <w:rFonts w:ascii="Times New Roman" w:hAnsi="Times New Roman"/>
        </w:rPr>
        <w:t>B. Antrag an OLG München</w:t>
      </w:r>
    </w:p>
    <w:p>
      <w:pPr>
        <w:jc w:val="left"/>
      </w:pPr>
      <w:r>
        <w:t xml:space="preserve">Da eine Einigung nicht innerhalb von 14 Werktagen nach dem Bauer-Hoch-Antrag (05.05.2026, Frist: 23.05.2026) erzielt wurde, hat die Kanzlei Niedermair am 28.05.2026 beim </w:t>
      </w:r>
      <w:r>
        <w:rPr>
          <w:b/>
        </w:rPr>
        <w:t>Präsidenten des OLG München</w:t>
      </w:r>
      <w:r>
        <w:t xml:space="preserve"> beantragt, gemäß § 18 Nr. 2 Abs. 3 VOB/B den Schiedsgutachter zu bestellen.</w:t>
      </w:r>
    </w:p>
    <w:p>
      <w:pPr>
        <w:pStyle w:val="Heading3"/>
      </w:pPr>
      <w:r>
        <w:rPr>
          <w:rFonts w:ascii="Times New Roman" w:hAnsi="Times New Roman"/>
        </w:rPr>
        <w:t>Antrag an OLG München vom 28.05.2026 (Auszug)</w:t>
      </w:r>
    </w:p>
    <w:p/>
    <w:p>
      <w:pPr>
        <w:jc w:val="left"/>
      </w:pPr>
      <w:r>
        <w:rPr>
          <w:b/>
        </w:rPr>
        <w:t>An den</w:t>
      </w:r>
    </w:p>
    <w:p>
      <w:pPr>
        <w:jc w:val="left"/>
      </w:pPr>
      <w:r>
        <w:rPr>
          <w:b/>
        </w:rPr>
        <w:t>Präsidenten des Oberlandesgerichts München</w:t>
      </w:r>
    </w:p>
    <w:p>
      <w:pPr>
        <w:jc w:val="left"/>
      </w:pPr>
      <w:r>
        <w:t>Prielmayerstraße 5</w:t>
      </w:r>
    </w:p>
    <w:p>
      <w:pPr>
        <w:jc w:val="left"/>
      </w:pPr>
      <w:r>
        <w:t>80335 München</w:t>
      </w:r>
    </w:p>
    <w:p>
      <w:pPr>
        <w:jc w:val="left"/>
      </w:pPr>
      <w:r>
        <w:rPr>
          <w:b/>
        </w:rPr>
        <w:t>Antrag auf Benennung eines Schiedsgutachters</w:t>
      </w:r>
    </w:p>
    <w:p>
      <w:pPr>
        <w:jc w:val="left"/>
      </w:pPr>
      <w:r>
        <w:t>gemäß § 18 Nr. 2 Abs. 3 VOB/B</w:t>
      </w:r>
    </w:p>
    <w:p>
      <w:pPr>
        <w:jc w:val="left"/>
      </w:pPr>
      <w:r>
        <w:rPr>
          <w:b/>
        </w:rPr>
        <w:t>Antragstellerin:</w:t>
      </w:r>
      <w:r>
        <w:t xml:space="preserve"> Saalbau Wendelstein gGmbH</w:t>
      </w:r>
    </w:p>
    <w:p>
      <w:pPr>
        <w:jc w:val="left"/>
      </w:pPr>
      <w:r>
        <w:rPr>
          <w:b/>
        </w:rPr>
        <w:t>Antragsgegner:</w:t>
      </w:r>
      <w:r>
        <w:t xml:space="preserve"> Bauer-Hoch GmbH &amp; Co. KG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beantragen, gemäß § 18 Nr. 2 Abs. 3 VOB/B einen geeigneten Schiedsgutachter zu benennen.</w:t>
      </w:r>
    </w:p>
    <w:p>
      <w:pPr>
        <w:jc w:val="left"/>
      </w:pPr>
      <w:r>
        <w:t>Die Parteien haben im GU-Vertrag vom 12.07.2023, § 17.1, ein Schiedsgutachterverfahren nach § 18 Nr. 2 VOB/B vereinbart. Bauer-Hoch hat mit Schreiben vom 05.05.2026 das Verfahren eingeleitet. Die Parteien haben sich innerhalb von 14 Werktagen nicht auf einen Schiedsgutachter geeinigt.</w:t>
      </w:r>
    </w:p>
    <w:p>
      <w:pPr>
        <w:jc w:val="left"/>
      </w:pPr>
      <w:r>
        <w:t>Die zu begutachtenden Fragen betreffen im Wesentlichen:</w:t>
      </w:r>
    </w:p>
    <w:p>
      <w:pPr>
        <w:pStyle w:val="ListNumber"/>
      </w:pPr>
      <w:r>
        <w:t>Verdichtungsqualität von Schotterbetten unter Stahlbetonbodenplatten (Bodenmechanik)</w:t>
      </w:r>
    </w:p>
    <w:p>
      <w:pPr>
        <w:pStyle w:val="ListNumber"/>
      </w:pPr>
      <w:r>
        <w:t>Bewehrungsausführung in Stahlbetonbodenplatten (Stahlbetonbau)</w:t>
      </w:r>
    </w:p>
    <w:p>
      <w:pPr>
        <w:pStyle w:val="ListNumber"/>
      </w:pPr>
      <w:r>
        <w:t>Heizestrichsysteme in Industriegebäuden</w:t>
      </w:r>
    </w:p>
    <w:p>
      <w:pPr>
        <w:pStyle w:val="ListNumber"/>
      </w:pPr>
      <w:r>
        <w:t>Schachtabdichtungen nach DIN 18533</w:t>
      </w:r>
    </w:p>
    <w:p>
      <w:pPr>
        <w:jc w:val="left"/>
      </w:pPr>
      <w:r>
        <w:t>Die Antragstellerin schlägt vor, einen öffentlich bestellten Sachverständigen für Schäden an Gebäuden und Baukonstruktionen, vorzugsweise mit nachgewiesener Erfahrung in Bodenmechanik und Stahlbetonbau, zu bestellen.</w:t>
      </w:r>
    </w:p>
    <w:p>
      <w:pPr>
        <w:jc w:val="left"/>
      </w:pPr>
      <w:r>
        <w:t>Konkret schlägt die Antragstellerin vor:</w:t>
      </w:r>
    </w:p>
    <w:p>
      <w:pPr>
        <w:pStyle w:val="ListNumber"/>
      </w:pPr>
      <w:r>
        <w:rPr>
          <w:b/>
        </w:rPr>
        <w:t>Prof. Dr.-Ing. Manfred Seibold</w:t>
      </w:r>
      <w:r>
        <w:t>, TU München, Lehrstuhl Baukonstruktion</w:t>
      </w:r>
    </w:p>
    <w:p>
      <w:pPr>
        <w:pStyle w:val="ListNumber"/>
      </w:pPr>
      <w:r>
        <w:rPr>
          <w:b/>
        </w:rPr>
        <w:t>Dipl.-Ing. Andreas Pfeiffer</w:t>
      </w:r>
      <w:r>
        <w:t>, München, SV für Schäden an Gebäuden und Ingenieurkonstruktionen</w:t>
      </w:r>
    </w:p>
    <w:p>
      <w:pPr>
        <w:jc w:val="left"/>
      </w:pPr>
      <w:r>
        <w:t>Wir bitten um baldige Benennung.</w:t>
      </w:r>
    </w:p>
    <w:p>
      <w:pPr>
        <w:jc w:val="left"/>
      </w:pPr>
      <w:r>
        <w:t>Dr. Henriette Niedermair, Rechtsanwältin</w:t>
      </w:r>
    </w:p>
    <w:p/>
    <w:p>
      <w:pPr>
        <w:pStyle w:val="Heading2"/>
      </w:pPr>
      <w:r>
        <w:rPr>
          <w:rFonts w:ascii="Times New Roman" w:hAnsi="Times New Roman"/>
        </w:rPr>
        <w:t>C. Bescheid OLG München</w:t>
      </w:r>
    </w:p>
    <w:p>
      <w:pPr>
        <w:jc w:val="left"/>
      </w:pPr>
      <w:r>
        <w:t>Das OLG München hat mit Beschluss vom 18. Juni 2026 folgenden Schiedsgutachter bestellt:</w:t>
      </w:r>
    </w:p>
    <w:p>
      <w:pPr>
        <w:jc w:val="left"/>
      </w:pPr>
      <w:r>
        <w:rPr>
          <w:b/>
        </w:rPr>
        <w:t>Dipl.-Ing. Katja Rosendahl</w:t>
      </w:r>
    </w:p>
    <w:p>
      <w:pPr>
        <w:jc w:val="left"/>
      </w:pPr>
      <w:r>
        <w:t>Öffentlich bestellte und vereidigte Sachverständige für Schäden an Gebäuden</w:t>
      </w:r>
    </w:p>
    <w:p>
      <w:pPr>
        <w:jc w:val="left"/>
      </w:pPr>
      <w:r>
        <w:t>Sachverständigenbüro Rosendahl</w:t>
      </w:r>
    </w:p>
    <w:p>
      <w:pPr>
        <w:jc w:val="left"/>
      </w:pPr>
      <w:r>
        <w:t>Blumenstraße 14</w:t>
      </w:r>
    </w:p>
    <w:p>
      <w:pPr>
        <w:jc w:val="left"/>
      </w:pPr>
      <w:r>
        <w:t>80331 München</w:t>
      </w:r>
    </w:p>
    <w:p>
      <w:pPr>
        <w:jc w:val="left"/>
      </w:pPr>
      <w:r>
        <w:t>Frau Rosendahl hat Erfahrung in Baugrundproblemen und Stahlbetonkonstruktionen; ihre Bestellung wurde vom OLG München mit ihrer Eignung für die konkreten Fragestellungen begründet.</w:t>
      </w:r>
    </w:p>
    <w:p/>
    <w:p>
      <w:pPr>
        <w:pStyle w:val="Heading2"/>
      </w:pPr>
      <w:r>
        <w:rPr>
          <w:rFonts w:ascii="Times New Roman" w:hAnsi="Times New Roman"/>
        </w:rPr>
        <w:t>D. Beauftragung und Fragen an Sachverständige Rosendahl</w:t>
      </w:r>
    </w:p>
    <w:p>
      <w:pPr>
        <w:jc w:val="left"/>
      </w:pPr>
      <w:r>
        <w:t>Die Kanzlei Niedermair hat am 25. Juni 2026 die Sachverständige Rosendahl schriftlich kontaktiert und folgende Fragen für das Schiedsgutachten formuliert (im Einvernehmen mit RA Strohmayer für Bauer-Hoch):</w:t>
      </w:r>
    </w:p>
    <w:p>
      <w:pPr>
        <w:jc w:val="left"/>
      </w:pPr>
      <w:r>
        <w:rPr>
          <w:b/>
        </w:rPr>
        <w:t>Schiedsgutachtenfragen (gemeinsam abgestimmt):</w:t>
      </w:r>
    </w:p>
    <w:p>
      <w:pPr>
        <w:pStyle w:val="ListNumber"/>
      </w:pPr>
      <w:r>
        <w:t>Welchen Verdichtungsgrad (Lagerungsdichte D nach DIN 1054) weist das Schotterbett unter der Bodenplatte des Werkstattgebäudes auf? Entspricht dieser Verdichtungsgrad den Anforderungen gemäß LV Pos. 4.2.1?</w:t>
      </w:r>
    </w:p>
    <w:p>
      <w:pPr>
        <w:pStyle w:val="ListNumber"/>
      </w:pPr>
      <w:r>
        <w:t>Entspricht die Bewehrung der Bodenplatte dem Bewehrungsplan Pos. 3.1 des Ingenieurbüros Dr. Eschelmann, insbesondere hinsichtlich der Randstabbewehrung im Schachtbereich?</w:t>
      </w:r>
    </w:p>
    <w:p>
      <w:pPr>
        <w:pStyle w:val="ListNumber"/>
      </w:pPr>
      <w:r>
        <w:t>Sind die festgestellten Risse (14 Risse, Breiten 0,2–1,4 mm) als Mängel im Sinne von § 13 Abs. 1 VOB/B zu qualifizieren?</w:t>
      </w:r>
    </w:p>
    <w:p>
      <w:pPr>
        <w:pStyle w:val="ListNumber"/>
      </w:pPr>
      <w:r>
        <w:t>Welche Maßnahmen sind zur Mängelbeseitigung erforderlich und welche Kosten entstehen dabei voraussichtlich?</w:t>
      </w:r>
    </w:p>
    <w:p>
      <w:pPr>
        <w:jc w:val="left"/>
      </w:pPr>
      <w:r>
        <w:rPr>
          <w:b/>
        </w:rPr>
        <w:t>Zeitplan laut Auftragsvergabe:</w:t>
      </w:r>
    </w:p>
    <w:p>
      <w:pPr>
        <w:pStyle w:val="ListBullet"/>
      </w:pPr>
      <w:r>
        <w:t>Begehung: 15. Juli 2026</w:t>
      </w:r>
    </w:p>
    <w:p>
      <w:pPr>
        <w:pStyle w:val="ListBullet"/>
      </w:pPr>
      <w:r>
        <w:t>Zwischenbericht: 15. August 2026</w:t>
      </w:r>
    </w:p>
    <w:p>
      <w:pPr>
        <w:pStyle w:val="ListBullet"/>
      </w:pPr>
      <w:r>
        <w:t>Endfassung Schiedsgutachten: 15. September 2026</w:t>
      </w:r>
    </w:p>
    <w:p/>
    <w:p>
      <w:pPr>
        <w:pStyle w:val="Heading2"/>
      </w:pPr>
      <w:r>
        <w:rPr>
          <w:rFonts w:ascii="Times New Roman" w:hAnsi="Times New Roman"/>
        </w:rPr>
        <w:t>E. Strategische Bewertung</w:t>
      </w:r>
    </w:p>
    <w:p>
      <w:pPr>
        <w:jc w:val="left"/>
      </w:pPr>
      <w:r>
        <w:t>Das Schiedsgutachterverfahren läuft parallel zu folgenden Verfahren:</w:t>
      </w:r>
    </w:p>
    <w:p>
      <w:pPr>
        <w:pStyle w:val="ListBullet"/>
      </w:pPr>
      <w:r>
        <w:t>Selbstständiges Beweisverfahren 2 OH 7/26 LG Traunstein (gerichtl. SV Prof. Seibold)</w:t>
      </w:r>
    </w:p>
    <w:p>
      <w:pPr>
        <w:pStyle w:val="ListBullet"/>
      </w:pPr>
      <w:r>
        <w:t>Hauptsacheklage 2 O 318/26 LG Traunstein (in Vorbereitung)</w:t>
      </w:r>
    </w:p>
    <w:p>
      <w:pPr>
        <w:jc w:val="left"/>
      </w:pPr>
      <w:r>
        <w:t>Die Kanzlei erwartet, dass das Schiedsgutachten die Mängelfeststellungen des Privatgutachters Riedhof bestätigen wird. Im Falle einer für die Mandantin günstigen Schiedsgutachtenentscheidung (Mängel bejaht) verstärkt dies den Druck auf Bauer-Hoch zur Mängelbeseitigung oder Vergleichsbereitschaft erheblich.</w:t>
      </w:r>
    </w:p>
    <w:p>
      <w:pPr>
        <w:jc w:val="left"/>
      </w:pPr>
      <w:r>
        <w:t>Sollte das Schiedsgutachten die Mängel verneinen, ist es nach § 18 Nr. 2 VOB/B für die Tatsachenfeststellung bindend — allerdings nur, soweit es nicht offensichtlich unrichtig oder unter Berücksichtigung arglistiger Täuschung zustande gekommen ist (BGH, Urt. v. 28.03.1985 – VII ZR 317/83). Das Privatgutachten Riedhof und das gerichtliche Gutachten (selbstständiges Beweisverfahren) können dann zur Anfechtung des Schiedsgutachtens herangezogen werden.</w:t>
      </w:r>
    </w:p>
    <w:p>
      <w:pPr>
        <w:jc w:val="left"/>
      </w:pPr>
      <w:r>
        <w:rPr>
          <w:i/>
        </w:rPr>
        <w:t>Bearbeiterin: RAin Dr. Henriette Niedermair, Stand 25.06.2026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