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HOAI-Gegenschreiben: Einspruch gegen Schlussrechnung Maierhoffer + Streibl</w:t>
      </w:r>
    </w:p>
    <w:p>
      <w:pPr>
        <w:jc w:val="left"/>
      </w:pPr>
      <w:r>
        <w:rPr>
          <w:b/>
        </w:rPr>
        <w:t>Kanzlei Niedermair Baurecht Rosenheim — AZ NB-2026-0318</w:t>
      </w:r>
    </w:p>
    <w:p/>
    <w:p>
      <w:pPr>
        <w:pStyle w:val="Heading2"/>
      </w:pPr>
      <w:r>
        <w:rPr>
          <w:rFonts w:ascii="Times New Roman" w:hAnsi="Times New Roman"/>
        </w:rPr>
        <w:t>A. Schreiben der Kanzlei vom 05. Mai 2026</w:t>
      </w:r>
    </w:p>
    <w:p/>
    <w:p>
      <w:pPr>
        <w:jc w:val="left"/>
      </w:pPr>
      <w:r>
        <w:rPr>
          <w:b/>
        </w:rPr>
        <w:t>KANZLEI NIEDERMAIR BAURECHT</w:t>
      </w:r>
    </w:p>
    <w:p>
      <w:pPr>
        <w:jc w:val="left"/>
      </w:pPr>
      <w:r>
        <w:t>Dr. Henriette Niedermair — Fachanwältin für Bau- und Architektenrecht</w:t>
      </w:r>
    </w:p>
    <w:p>
      <w:pPr>
        <w:jc w:val="left"/>
      </w:pPr>
      <w:r>
        <w:t>Ludwigstraße 18 · 83022 Rosenheim</w:t>
      </w:r>
    </w:p>
    <w:p/>
    <w:p>
      <w:pPr>
        <w:jc w:val="left"/>
      </w:pPr>
      <w:r>
        <w:rPr>
          <w:b/>
        </w:rPr>
        <w:t>Per Einschreiben mit Rückschein</w:t>
      </w:r>
    </w:p>
    <w:p>
      <w:pPr>
        <w:jc w:val="left"/>
      </w:pPr>
      <w:r>
        <w:t>Maierhoffer + Streibl Architekten BDA PartGmbB</w:t>
      </w:r>
    </w:p>
    <w:p>
      <w:pPr>
        <w:jc w:val="left"/>
      </w:pPr>
      <w:r>
        <w:t>z.H. Herrn Dipl.-Ing. Josef Maierhoffer</w:t>
      </w:r>
    </w:p>
    <w:p>
      <w:pPr>
        <w:jc w:val="left"/>
      </w:pPr>
      <w:r>
        <w:t>Maximilianstraße 44</w:t>
      </w:r>
    </w:p>
    <w:p>
      <w:pPr>
        <w:jc w:val="left"/>
      </w:pPr>
      <w:r>
        <w:t>80538 München</w:t>
      </w:r>
    </w:p>
    <w:p/>
    <w:p>
      <w:pPr>
        <w:jc w:val="left"/>
      </w:pPr>
      <w:r>
        <w:rPr>
          <w:b/>
        </w:rPr>
        <w:t>Rosenheim, 05. Mai 2026</w:t>
      </w:r>
    </w:p>
    <w:p>
      <w:pPr>
        <w:jc w:val="left"/>
      </w:pPr>
      <w:r>
        <w:rPr>
          <w:b/>
        </w:rPr>
        <w:t>Betr.:</w:t>
      </w:r>
      <w:r>
        <w:t xml:space="preserve"> Architektenvertrag vom 05.04.2023 — Bauvorhaben Saalbau Wendelstein gGmbH, Wittelsbacherstraße 102, Rosenheim</w:t>
      </w:r>
    </w:p>
    <w:p>
      <w:pPr>
        <w:jc w:val="left"/>
      </w:pPr>
      <w:r>
        <w:rPr>
          <w:b/>
        </w:rPr>
        <w:t>Betr. ferner:</w:t>
      </w:r>
      <w:r>
        <w:t xml:space="preserve"> Einspruch gegen Schlussrechnung Nr. 2026-047 vom 02.03.2026</w:t>
      </w:r>
    </w:p>
    <w:p/>
    <w:p>
      <w:pPr>
        <w:jc w:val="left"/>
      </w:pPr>
      <w:r>
        <w:t>Sehr geehrter Herr Maierhoffer,</w:t>
      </w:r>
    </w:p>
    <w:p>
      <w:pPr>
        <w:jc w:val="left"/>
      </w:pPr>
      <w:r>
        <w:t>wir vertreten die Saalbau Wendelstein gGmbH — Bauherrin — und zeigen die anwaltliche Vertretung an.</w:t>
      </w:r>
    </w:p>
    <w:p>
      <w:pPr>
        <w:jc w:val="left"/>
      </w:pPr>
      <w:r>
        <w:t>Wir haben Ihre Schlussrechnung Nr. 2026-047 vom 02. März 2026 (Forderungssumme 476.280 EUR netto) einer eingehenden Überprüfung unterzogen. Wir erheben hiermit Einspruch gegen die Schlussrechnung in folgendem Umfang.</w:t>
      </w:r>
    </w:p>
    <w:p>
      <w:pPr>
        <w:pStyle w:val="Heading3"/>
      </w:pPr>
      <w:r>
        <w:rPr>
          <w:rFonts w:ascii="Times New Roman" w:hAnsi="Times New Roman"/>
        </w:rPr>
        <w:t>I. Unstreitige Position</w:t>
      </w:r>
    </w:p>
    <w:p>
      <w:pPr>
        <w:jc w:val="left"/>
      </w:pPr>
      <w:r>
        <w:rPr>
          <w:b/>
        </w:rPr>
        <w:t>Vertraglich vereinbartes Pauschalhonorar (§ 6.1 Architektenvertrag):</w:t>
      </w:r>
    </w:p>
    <w:p>
      <w:pPr>
        <w:jc w:val="left"/>
      </w:pPr>
      <w:r>
        <w:t>LPh 1–9: 485.000 EUR netto</w:t>
      </w:r>
    </w:p>
    <w:p>
      <w:pPr>
        <w:jc w:val="left"/>
      </w:pPr>
      <w:r>
        <w:t>Davon abzüglich bereits gezahlt: 380.000 EUR netto</w:t>
      </w:r>
    </w:p>
    <w:p>
      <w:pPr>
        <w:jc w:val="left"/>
      </w:pPr>
      <w:r>
        <w:rPr>
          <w:b/>
        </w:rPr>
        <w:t>Offen nach Maßgabe des Vertrags:</w:t>
      </w:r>
      <w:r>
        <w:t xml:space="preserve"> 105.000 EUR netto</w:t>
      </w:r>
    </w:p>
    <w:p>
      <w:pPr>
        <w:jc w:val="left"/>
      </w:pPr>
      <w:r>
        <w:t>Unsere Mandantin ist bereit, nach Abrechnung des tatsächlichen Fertigstellungsgrads LPh 8 und dem vereinbarten Pauschalhonorar den sich ergebenden Restbetrag zu zahlen. Auf der Grundlage des Vertragspauschalpreises und eines LPh-8-Fertigstellungsgrads von 85 % ergibt sich: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LPh</w:t>
            </w:r>
          </w:p>
        </w:tc>
        <w:tc>
          <w:tcPr>
            <w:tcW w:type="dxa" w:w="3024"/>
          </w:tcPr>
          <w:p>
            <w:r>
              <w:rPr>
                <w:rFonts w:ascii="Times New Roman" w:hAnsi="Times New Roman"/>
                <w:b/>
                <w:sz w:val="20"/>
              </w:rPr>
              <w:t>Anteil % (§ 34 HOAI)</w:t>
            </w:r>
          </w:p>
        </w:tc>
        <w:tc>
          <w:tcPr>
            <w:tcW w:type="dxa" w:w="3024"/>
          </w:tcPr>
          <w:p>
            <w:r>
              <w:rPr>
                <w:rFonts w:ascii="Times New Roman" w:hAnsi="Times New Roman"/>
                <w:b/>
                <w:sz w:val="20"/>
              </w:rPr>
              <w:t>Betrag Pauschal</w:t>
            </w:r>
          </w:p>
        </w:tc>
      </w:tr>
      <w:tr>
        <w:tc>
          <w:tcPr>
            <w:tcW w:type="dxa" w:w="3024"/>
          </w:tcPr>
          <w:p>
            <w:r>
              <w:rPr>
                <w:rFonts w:ascii="Times New Roman" w:hAnsi="Times New Roman"/>
                <w:sz w:val="20"/>
              </w:rPr>
              <w:t>1–7</w:t>
            </w:r>
          </w:p>
        </w:tc>
        <w:tc>
          <w:tcPr>
            <w:tcW w:type="dxa" w:w="3024"/>
          </w:tcPr>
          <w:p>
            <w:r>
              <w:rPr>
                <w:rFonts w:ascii="Times New Roman" w:hAnsi="Times New Roman"/>
                <w:sz w:val="20"/>
              </w:rPr>
              <w:t>61 %</w:t>
            </w:r>
          </w:p>
        </w:tc>
        <w:tc>
          <w:tcPr>
            <w:tcW w:type="dxa" w:w="3024"/>
          </w:tcPr>
          <w:p>
            <w:r>
              <w:rPr>
                <w:rFonts w:ascii="Times New Roman" w:hAnsi="Times New Roman"/>
                <w:sz w:val="20"/>
              </w:rPr>
              <w:t>295.850 EUR</w:t>
            </w:r>
          </w:p>
        </w:tc>
      </w:tr>
      <w:tr>
        <w:tc>
          <w:tcPr>
            <w:tcW w:type="dxa" w:w="3024"/>
          </w:tcPr>
          <w:p>
            <w:r>
              <w:rPr>
                <w:rFonts w:ascii="Times New Roman" w:hAnsi="Times New Roman"/>
                <w:sz w:val="20"/>
              </w:rPr>
              <w:t>8 (85 %)</w:t>
            </w:r>
          </w:p>
        </w:tc>
        <w:tc>
          <w:tcPr>
            <w:tcW w:type="dxa" w:w="3024"/>
          </w:tcPr>
          <w:p>
            <w:r>
              <w:rPr>
                <w:rFonts w:ascii="Times New Roman" w:hAnsi="Times New Roman"/>
                <w:sz w:val="20"/>
              </w:rPr>
              <w:t>32 % × 85 % = 27,2 %</w:t>
            </w:r>
          </w:p>
        </w:tc>
        <w:tc>
          <w:tcPr>
            <w:tcW w:type="dxa" w:w="3024"/>
          </w:tcPr>
          <w:p>
            <w:r>
              <w:rPr>
                <w:rFonts w:ascii="Times New Roman" w:hAnsi="Times New Roman"/>
                <w:sz w:val="20"/>
              </w:rPr>
              <w:t>131.920 EUR</w:t>
            </w:r>
          </w:p>
        </w:tc>
      </w:tr>
      <w:tr>
        <w:tc>
          <w:tcPr>
            <w:tcW w:type="dxa" w:w="3024"/>
          </w:tcPr>
          <w:p>
            <w:r>
              <w:rPr>
                <w:rFonts w:ascii="Times New Roman" w:hAnsi="Times New Roman"/>
                <w:sz w:val="20"/>
              </w:rPr>
              <w:t>LPh 1–8 (85 %)</w:t>
            </w:r>
          </w:p>
        </w:tc>
        <w:tc>
          <w:tcPr>
            <w:tcW w:type="dxa" w:w="3024"/>
          </w:tcPr>
          <w:p>
            <w:r>
              <w:rPr>
                <w:rFonts w:ascii="Times New Roman" w:hAnsi="Times New Roman"/>
                <w:sz w:val="20"/>
              </w:rPr>
              <w:t>88,2 %</w:t>
            </w:r>
          </w:p>
        </w:tc>
        <w:tc>
          <w:tcPr>
            <w:tcW w:type="dxa" w:w="3024"/>
          </w:tcPr>
          <w:p>
            <w:r>
              <w:rPr>
                <w:rFonts w:ascii="Times New Roman" w:hAnsi="Times New Roman"/>
                <w:b/>
                <w:sz w:val="20"/>
              </w:rPr>
              <w:t>427.770 EUR</w:t>
            </w:r>
          </w:p>
        </w:tc>
      </w:tr>
      <w:tr>
        <w:tc>
          <w:tcPr>
            <w:tcW w:type="dxa" w:w="3024"/>
          </w:tcPr>
          <w:p>
            <w:r>
              <w:rPr>
                <w:rFonts w:ascii="Times New Roman" w:hAnsi="Times New Roman"/>
                <w:sz w:val="20"/>
              </w:rPr>
              <w:t>abzgl. gezahlt</w:t>
            </w:r>
          </w:p>
        </w:tc>
        <w:tc>
          <w:tcPr>
            <w:tcW w:type="dxa" w:w="3024"/>
          </w:tcPr>
          <w:p/>
        </w:tc>
        <w:tc>
          <w:tcPr>
            <w:tcW w:type="dxa" w:w="3024"/>
          </w:tcPr>
          <w:p>
            <w:r>
              <w:rPr>
                <w:rFonts w:ascii="Times New Roman" w:hAnsi="Times New Roman"/>
                <w:sz w:val="20"/>
              </w:rPr>
              <w:t>./. 380.000 EUR</w:t>
            </w:r>
          </w:p>
        </w:tc>
      </w:tr>
      <w:tr>
        <w:tc>
          <w:tcPr>
            <w:tcW w:type="dxa" w:w="3024"/>
          </w:tcPr>
          <w:p>
            <w:r>
              <w:rPr>
                <w:rFonts w:ascii="Times New Roman" w:hAnsi="Times New Roman"/>
                <w:b/>
                <w:sz w:val="20"/>
              </w:rPr>
              <w:t>Offener Restbetrag (unstreitig)</w:t>
            </w:r>
          </w:p>
        </w:tc>
        <w:tc>
          <w:tcPr>
            <w:tcW w:type="dxa" w:w="3024"/>
          </w:tcPr>
          <w:p/>
        </w:tc>
        <w:tc>
          <w:tcPr>
            <w:tcW w:type="dxa" w:w="3024"/>
          </w:tcPr>
          <w:p>
            <w:r>
              <w:rPr>
                <w:rFonts w:ascii="Times New Roman" w:hAnsi="Times New Roman"/>
                <w:b/>
                <w:sz w:val="20"/>
              </w:rPr>
              <w:t>47.770 EUR</w:t>
            </w:r>
          </w:p>
        </w:tc>
      </w:tr>
    </w:tbl>
    <w:p>
      <w:pPr>
        <w:jc w:val="left"/>
      </w:pPr>
      <w:r>
        <w:t>Wir bieten an, diesen Betrag (47.770 EUR netto) binnen 14 Tagen nach Zugang dieser Erklärung zu überweisen.</w:t>
      </w:r>
    </w:p>
    <w:p>
      <w:pPr>
        <w:pStyle w:val="Heading3"/>
      </w:pPr>
      <w:r>
        <w:rPr>
          <w:rFonts w:ascii="Times New Roman" w:hAnsi="Times New Roman"/>
        </w:rPr>
        <w:t>II. Bestrittene Position: Honorarerhöhung nach § 6.2 Anpassungsklausel</w:t>
      </w:r>
    </w:p>
    <w:p>
      <w:pPr>
        <w:jc w:val="left"/>
      </w:pPr>
      <w:r>
        <w:t>Ihre Schlussrechnung enthält einen Aufschlag auf der Grundlage eines behaupteten Anstiegs der anrechenbaren Kosten um 18 %. Dieser Aufschlag wird bestritten.</w:t>
      </w:r>
    </w:p>
    <w:p>
      <w:pPr>
        <w:jc w:val="left"/>
      </w:pPr>
      <w:r>
        <w:rPr>
          <w:b/>
        </w:rPr>
        <w:t>a) Sanierungskosten sind nicht anrechenbar:</w:t>
      </w:r>
    </w:p>
    <w:p>
      <w:pPr>
        <w:jc w:val="left"/>
      </w:pPr>
      <w:r>
        <w:t>Die von Ihnen in die anrechenbaren Kosten einbezogenen Sanierungskosten für die Bodenkontamination (Kostenschätzung ca. 900.000 EUR) sind nach § 4 Abs. 1 HOAI 2021 i.V.m. DIN 276 keine anrechenbaren Kosten im Sinne des Architektenvertrags. Anrechenbare Kosten umfassen nur Kosten, die unmittelbar dem geplanten Bauvorhaben zuzurechnen sind (Kostengruppen 200–700 DIN 276). Sanierungsaufwendungen für Altlasten des Baugrunds sind hiervon nicht erfasst.</w:t>
      </w:r>
    </w:p>
    <w:p>
      <w:pPr>
        <w:jc w:val="left"/>
      </w:pPr>
      <w:r>
        <w:rPr>
          <w:b/>
        </w:rPr>
        <w:t>b) Keine Anpassungsklausel ohne Kostenmehrung im geplanten Vorhaben:</w:t>
      </w:r>
    </w:p>
    <w:p>
      <w:pPr>
        <w:jc w:val="left"/>
      </w:pPr>
      <w:r>
        <w:t>Die Anpassungsklausel § 6.2 des Architektenvertrags setzt eine Abweichung der anrechenbaren Kosten von mehr als 10 % voraus. Die tatsächlichen Baukosten für das geplante Vorhaben (ohne Sanierungskosten) betragen nach derzeitiger Kenntnis ca. 4.600.000 EUR (gegenüber geschätzten 4.280.000 EUR). Dies entspricht einer Abweichung von ca. 7,5 % — unterhalb der 10 %-Schwelle des § 6.2.</w:t>
      </w:r>
    </w:p>
    <w:p>
      <w:pPr>
        <w:jc w:val="left"/>
      </w:pPr>
      <w:r>
        <w:rPr>
          <w:b/>
        </w:rPr>
        <w:t>c) HOAI-Mindestsätze nicht maßgeblich:</w:t>
      </w:r>
    </w:p>
    <w:p>
      <w:pPr>
        <w:jc w:val="left"/>
      </w:pPr>
      <w:r>
        <w:t>Soweit Ihre Schlussrechnung auf die Tabellenwerte der HOAI 2021 abstellt, machen wir geltend, dass die Verbindlichkeit der HOAI-Mindestsätze für nach dem 18.07.2019 abgeschlossene Verträge entfallen ist (EuGH, Urt. v. 04.07.2019 – C-377/17; BGH, Urt. v. 02.06.2022 – VII ZR 174/19). Der vorliegende Architektenvertrag wurde am 05.04.2023 abgeschlossen. Die HOAI-Tabellenwerte sind daher für die Honorarermittlung nicht zwingend; maßgeblich ist allein die Parteivereinbarung (§ 6.1 Architektenvertrag).</w:t>
      </w:r>
    </w:p>
    <w:p>
      <w:pPr>
        <w:pStyle w:val="Heading3"/>
      </w:pPr>
      <w:r>
        <w:rPr>
          <w:rFonts w:ascii="Times New Roman" w:hAnsi="Times New Roman"/>
        </w:rPr>
        <w:t>III. Gegenanspruch: Schadensersatz wegen Planungsmangel</w:t>
      </w:r>
    </w:p>
    <w:p>
      <w:pPr>
        <w:jc w:val="left"/>
      </w:pPr>
      <w:r>
        <w:t>Wir machen darüber hinaus einen Gegenanspruch der Saalbau Wendelstein gGmbH geltend:</w:t>
      </w:r>
    </w:p>
    <w:p>
      <w:pPr>
        <w:jc w:val="left"/>
      </w:pPr>
      <w:r>
        <w:t xml:space="preserve">Das Sachverständigengutachten Riedhof (Az. GU-01/2026, Endfassung 02.04.2026) hat ergeben, dass in der Bodenplatte des Werkstattgebäudes die vertraglich vorgesehene </w:t>
      </w:r>
      <w:r>
        <w:rPr>
          <w:b/>
        </w:rPr>
        <w:t>Randstabbewehrung ⌀ 14 mm im Schachtbereich</w:t>
      </w:r>
      <w:r>
        <w:t xml:space="preserve"> (Positionsplan Pos. 3.1 des Ingenieurbüros Dr. Eschelmann) nicht eingebaut wurde.</w:t>
      </w:r>
    </w:p>
    <w:p>
      <w:pPr>
        <w:jc w:val="left"/>
      </w:pPr>
      <w:r>
        <w:t>Die Ausführungsplanung (LPh 5) lag in Ihrer Verantwortung. Zu den Grundleistungen der LPh 5 nach § 34 Abs. 4 HOAI 2021 gehört u.a. die Koordination der Planungsbeiträge der Fachplaner. Der Fehler in der Ausführung könnte auf einen Fehler in der Planungskoordinierung oder -kontrolle zurückzuführen sein.</w:t>
      </w:r>
    </w:p>
    <w:p>
      <w:pPr>
        <w:jc w:val="left"/>
      </w:pPr>
      <w:r>
        <w:t>Wir behalten uns vor, aus diesem Sachverhalt Schadensersatzansprüche gemäß § 634 Nr. 4, § 280 BGB gegen Ihre Partnerschaft zu erheben. Der Anspruch wird im Einzelnen beziffert, sobald das gerichtliche Sachverständigengutachten vorliegt (selbstständiges Beweisverfahren LG Traunstein Az. 2 OH 7/26). Vorläufige Schätzung der Planungsverantwortung: 40 % des Mängelbeseitigungsaufwands (80.080 EUR).</w:t>
      </w:r>
    </w:p>
    <w:p>
      <w:pPr>
        <w:pStyle w:val="Heading3"/>
      </w:pPr>
      <w:r>
        <w:rPr>
          <w:rFonts w:ascii="Times New Roman" w:hAnsi="Times New Roman"/>
        </w:rPr>
        <w:t>IV. Aufforderung</w:t>
      </w:r>
    </w:p>
    <w:p>
      <w:pPr>
        <w:jc w:val="left"/>
      </w:pPr>
      <w:r>
        <w:t xml:space="preserve">Wir fordern Sie auf, bis zum </w:t>
      </w:r>
      <w:r>
        <w:rPr>
          <w:b/>
        </w:rPr>
        <w:t>01. Juni 2026</w:t>
      </w:r>
      <w:r>
        <w:t xml:space="preserve"> schriftlich zu erklären:</w:t>
      </w:r>
    </w:p>
    <w:p>
      <w:pPr>
        <w:pStyle w:val="ListNumber"/>
      </w:pPr>
      <w:r>
        <w:t>Ob Sie die Korrektheit der Schlussrechnung aufrechterhalten und welche Position Sie hinsichtlich der Honorarerhöhung einnehmen.</w:t>
      </w:r>
    </w:p>
    <w:p>
      <w:pPr>
        <w:pStyle w:val="ListNumber"/>
      </w:pPr>
      <w:r>
        <w:t>Ob Sie zur außergerichtlichen Klärung des Planungsverantwortungs-Gegenanspruchs bereit sind.</w:t>
      </w:r>
    </w:p>
    <w:p>
      <w:pPr>
        <w:jc w:val="left"/>
      </w:pPr>
      <w:r>
        <w:t>Bis zur Klärung dieser offenen Fragen besteht für unsere Mandantin kein Anlass, mehr als 47.770 EUR netto zu zahlen. Wir empfehlen eine außergerichtliche Einigung.</w:t>
      </w:r>
    </w:p>
    <w:p>
      <w:pPr>
        <w:jc w:val="left"/>
      </w:pPr>
      <w:r>
        <w:t>Mit freundlichen kollegialen Grüßen</w:t>
      </w:r>
    </w:p>
    <w:p>
      <w:pPr>
        <w:jc w:val="left"/>
      </w:pPr>
      <w:r>
        <w:rPr>
          <w:b/>
        </w:rPr>
        <w:t>Dr. Henriette Niedermair</w:t>
      </w:r>
    </w:p>
    <w:p>
      <w:pPr>
        <w:jc w:val="left"/>
      </w:pPr>
      <w:r>
        <w:t>Rechtsanwältin</w:t>
      </w:r>
    </w:p>
    <w:p>
      <w:pPr>
        <w:jc w:val="left"/>
      </w:pPr>
      <w:r>
        <w:t>Fachanwältin für Bau- und Architektenrecht</w:t>
      </w:r>
    </w:p>
    <w:p/>
    <w:p>
      <w:pPr>
        <w:pStyle w:val="Heading2"/>
      </w:pPr>
      <w:r>
        <w:rPr>
          <w:rFonts w:ascii="Times New Roman" w:hAnsi="Times New Roman"/>
        </w:rPr>
        <w:t>B. Antwort Maierhoffer + Streibl vom 19. Mai 2026</w:t>
      </w:r>
    </w:p>
    <w:p>
      <w:pPr>
        <w:jc w:val="left"/>
      </w:pPr>
      <w:r>
        <w:t>Maierhoffer + Streibl antworteten durch Herrn Maierhoffer persönlich (kein Anwalt) und erklärten sinngemäß:</w:t>
      </w:r>
    </w:p>
    <w:p>
      <w:pPr>
        <w:pStyle w:val="ListBullet"/>
      </w:pPr>
      <w:r>
        <w:t>Die Anpassungsklausel § 6.2 greife, da die Kostensteigerung durch die Kontaminationssituation objektiv eingetreten sei</w:t>
      </w:r>
    </w:p>
    <w:p>
      <w:pPr>
        <w:pStyle w:val="ListBullet"/>
      </w:pPr>
      <w:r>
        <w:t>Die HOAI-Mindestsatzfrage sei strittig; sie verweisen auf die Beschlusslage ihrer Berufskammer</w:t>
      </w:r>
    </w:p>
    <w:p>
      <w:pPr>
        <w:pStyle w:val="ListBullet"/>
      </w:pPr>
      <w:r>
        <w:t>Einen Planungsmangel weisen sie zurück: Die Koordination der Bewehrungsplanung obliege dem Tragwerksplaner (IBr Eschelmann); Maierhoffer + Streibl seien nur für die Grundleistungen LPh 5 zuständig, nicht für Detailkontrolle der Bewehrungspläne</w:t>
      </w:r>
    </w:p>
    <w:p>
      <w:pPr>
        <w:jc w:val="left"/>
      </w:pPr>
      <w:r>
        <w:rPr>
          <w:b/>
        </w:rPr>
        <w:t>Reaktion der Kanzlei:</w:t>
      </w:r>
      <w:r>
        <w:t xml:space="preserve"> Die Kanzlei bestreitet die Zurückweisung des Planungsverantwortungs-Einwands und kündigt an, die Verantwortungsfrage in einem getrennten Verfahren zu klären. Zunächst werden die 47.770 EUR gezahlt; das Resthonorar bleibt einbehalten.</w:t>
      </w:r>
    </w:p>
    <w:p>
      <w:pPr>
        <w:jc w:val="left"/>
      </w:pPr>
      <w:r>
        <w:rPr>
          <w:i/>
        </w:rPr>
        <w:t>Bearbeiterin: RAin Dr. Henriette Niedermair, Stand 25.05.2026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