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17 — Regressprüfung gegen die Stadt Rosenheim</w:t>
      </w:r>
    </w:p>
    <w:p>
      <w:pPr>
        <w:jc w:val="left"/>
      </w:pPr>
      <w:r>
        <w:rPr>
          <w:b/>
        </w:rPr>
        <w:t>Kanzlei Niedermair Baurecht Rosenheim — AZ NB-2026-0318</w:t>
      </w:r>
    </w:p>
    <w:p/>
    <w:p>
      <w:pPr>
        <w:pStyle w:val="Heading2"/>
      </w:pPr>
      <w:r>
        <w:rPr>
          <w:rFonts w:ascii="Times New Roman" w:hAnsi="Times New Roman"/>
        </w:rPr>
        <w:t>A. Ausgangslage</w:t>
      </w:r>
    </w:p>
    <w:p>
      <w:pPr>
        <w:jc w:val="left"/>
      </w:pPr>
      <w:r>
        <w:t>Die Saalbau Wendelstein gGmbH ist als Erbbauberechtigte auf einem Grundstück tätig, das die Stadt Rosenheim ihr durch Erbbaurechtsvergabevertrag vom 14. März 2022 übertragen hat. Das Grundstück ist nach den vorliegenden Laboranalysen erheblich mit Cyanidverbindungen, Schwermetallen und PAK kontaminiert — Altlasten aus dem Betrieb der ehemaligen Drahtspinnerei Steinhauser (1907–1986).</w:t>
      </w:r>
    </w:p>
    <w:p>
      <w:pPr>
        <w:jc w:val="left"/>
      </w:pPr>
      <w:r>
        <w:t>Die Stadt Rosenheim hat in § 4 des Erbbaurechtsvergabevertrags erklärt, das Grundstück weise keine Sanierungsfalleintragung nach BBodSchG auf und sei bebaubar. Eine explizite Altlastenklausel fehlt.</w:t>
      </w:r>
    </w:p>
    <w:p/>
    <w:p>
      <w:pPr>
        <w:pStyle w:val="Heading2"/>
      </w:pPr>
      <w:r>
        <w:rPr>
          <w:rFonts w:ascii="Times New Roman" w:hAnsi="Times New Roman"/>
        </w:rPr>
        <w:t>B. Rechtliche Anspruchsgrundlagen gegen die Stadt Rosenheim</w:t>
      </w:r>
    </w:p>
    <w:p>
      <w:pPr>
        <w:pStyle w:val="Heading3"/>
      </w:pPr>
      <w:r>
        <w:rPr>
          <w:rFonts w:ascii="Times New Roman" w:hAnsi="Times New Roman"/>
        </w:rPr>
        <w:t>B.1 Kaufrechtliche Sachmängelhaftung analog (§§ 434, 437 BGB)</w:t>
      </w:r>
    </w:p>
    <w:p>
      <w:pPr>
        <w:jc w:val="left"/>
      </w:pPr>
      <w:r>
        <w:t>Das Erbbaurecht wird bei Bestellung als eigenständiges Recht übertragen; die §§ 433 ff. BGB finden auf die Erbbaurechtsbestellung entsprechende Anwendung. Eine Bodenkontamination, die die Nutzbarkeit des Grundstücks für den vereinbarten Zweck (Bau und Betrieb von Kulturveranstaltungsstätten) einschränkt oder die öffentlich-rechtliche Sanierungspflicht auslöst, ist ein Sachmangel im Sinne von § 434 Abs. 1 Satz 2 Nr. 2 BGB (Eignung für die vertraglich vorausgesetzte Verwendung).</w:t>
      </w:r>
    </w:p>
    <w:p>
      <w:pPr>
        <w:jc w:val="left"/>
      </w:pPr>
      <w:r>
        <w:rPr>
          <w:b/>
        </w:rPr>
        <w:t>§ 4 des Vertrags</w:t>
      </w:r>
      <w:r>
        <w:t xml:space="preserve"> enthält eine positive Beschaffenheitszusicherung (Bebaubarkeit, kein Sanierungsfall). Diese Zusicherung ist unrichtig, da die Kontamination tatsächlich vorhanden war. Es liegt ein arglistiges Verschweigen in Betracht, wenn die Stadt Rosenheim von der Kontamination oder dem Altlastenverdacht wusste.</w:t>
      </w:r>
    </w:p>
    <w:p>
      <w:pPr>
        <w:jc w:val="left"/>
      </w:pPr>
      <w:r>
        <w:rPr>
          <w:b/>
        </w:rPr>
        <w:t>Kenntnis der Stadt Rosenheim:</w:t>
      </w:r>
    </w:p>
    <w:p>
      <w:pPr>
        <w:jc w:val="left"/>
      </w:pPr>
      <w:r>
        <w:t xml:space="preserve">Das Grundstück war nach eigenen Unterlagen des Landratsamts als </w:t>
      </w:r>
      <w:r>
        <w:rPr>
          <w:b/>
        </w:rPr>
        <w:t>Altlastenverdachtsfläche Kat. B</w:t>
      </w:r>
      <w:r>
        <w:t xml:space="preserve"> eingetragen. Das Liegenschaftsamt der Stadt Rosenheim hat Kenntnis von dieser Eintragung; die Unterlagen wurden im Kataster geführt. Durch bloße Formulierung „kein Sanierungsfall" hat die Stadt die wesentliche Information (Altlastenverdacht) verschwiegen. Dies kann als arglistiges Verschweigen nach § 123 Abs. 1 BGB bzw. als Verletzung der Aufklärungspflicht im Vorvertragsverhältnis gewertet werden.</w:t>
      </w:r>
    </w:p>
    <w:p>
      <w:pPr>
        <w:jc w:val="left"/>
      </w:pPr>
      <w:r>
        <w:rPr>
          <w:b/>
        </w:rPr>
        <w:t>Folge bei Arglist:</w:t>
      </w:r>
      <w:r>
        <w:t xml:space="preserve"> Die §§ 438, 444 BGB greifen nicht; die Verjährung beträgt 3 Jahre nach Kenntnis (§ 195, § 199 BGB). Die Saalbau Wendelstein gGmbH hat erst seit dem 28. Januar 2026 Kenntnis — die Verjährungsfrist beginnt daher erst 2026 zu laufen.</w:t>
      </w:r>
    </w:p>
    <w:p>
      <w:pPr>
        <w:pStyle w:val="Heading3"/>
      </w:pPr>
      <w:r>
        <w:rPr>
          <w:rFonts w:ascii="Times New Roman" w:hAnsi="Times New Roman"/>
        </w:rPr>
        <w:t>B.2 Culpa in Contrahendo / Haftung für Verschulden bei Vertragsschluss (§ 311 Abs. 2, § 241 Abs. 2, § 280 BGB)</w:t>
      </w:r>
    </w:p>
    <w:p>
      <w:pPr>
        <w:jc w:val="left"/>
      </w:pPr>
      <w:r>
        <w:t>Unabhängig von § 434 BGB besteht eine Haftung aus c.i.c. (vorvertragliches Schuldverhältnis), wenn die Stadt Rosenheim es unterließ, die Saalbau Wendelstein gGmbH auf den bekannten Altlastenverdacht hinzuweisen, obwohl sie wusste, dass diese für einen Neubau plante.</w:t>
      </w:r>
    </w:p>
    <w:p>
      <w:pPr>
        <w:jc w:val="left"/>
      </w:pPr>
      <w:r>
        <w:t>Die Pflicht zur Information über altlastenrelevante Umstände besteht spätestens, wenn die Partei einen entsprechenden Informationsbedarf hatte und die andere Partei ihn kannte (BGH, Urt. v. 21.07.2006 – V ZR 252/05, NJW 2006, 3139).</w:t>
      </w:r>
    </w:p>
    <w:p>
      <w:pPr>
        <w:pStyle w:val="Heading3"/>
      </w:pPr>
      <w:r>
        <w:rPr>
          <w:rFonts w:ascii="Times New Roman" w:hAnsi="Times New Roman"/>
        </w:rPr>
        <w:t>B.3 Gesamtschuldnerausgleich nach § 24 Abs. 2 BBodSchG</w:t>
      </w:r>
    </w:p>
    <w:p>
      <w:pPr>
        <w:jc w:val="left"/>
      </w:pPr>
      <w:r>
        <w:t>§ 24 Abs. 2 BBodSchG gewährt einem Verpflichteten, der die Sanierungskosten allein getragen hat, einen Ausgleichsanspruch gegen die übrigen Verpflichteten (Gesamtschuldnergemeinschaft). Die Stadt Rosenheim ist als Grundstückseigentümerin ebenfalls Zustandsverantwortliche nach § 4 Abs. 3 BBodSchG. Sie hätte gleichzeitig mit der Saalbau in die Sanierungsanordnung aufgenommen werden müssen.</w:t>
      </w:r>
    </w:p>
    <w:p>
      <w:pPr>
        <w:jc w:val="left"/>
      </w:pPr>
      <w:r>
        <w:t>Der Ausgleichsanspruch nach § 24 Abs. 2 BBodSchG ist auf den nach der Billigkeit anzusetzenden Anteil gerichtet; bei der Bewertung spielt die jeweilige Verursachungsbeiträge (Eigentumsübergang von der Drahtspinnerei auf die Stadt) eine Rolle.</w:t>
      </w:r>
    </w:p>
    <w:p/>
    <w:p>
      <w:pPr>
        <w:pStyle w:val="Heading2"/>
      </w:pPr>
      <w:r>
        <w:rPr>
          <w:rFonts w:ascii="Times New Roman" w:hAnsi="Times New Roman"/>
        </w:rPr>
        <w:t>C. Beweissituation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Beweismittel</w:t>
            </w:r>
          </w:p>
        </w:tc>
        <w:tc>
          <w:tcPr>
            <w:tcW w:type="dxa" w:w="3024"/>
          </w:tcPr>
          <w:p>
            <w:r>
              <w:rPr>
                <w:rFonts w:ascii="Times New Roman" w:hAnsi="Times New Roman"/>
                <w:b/>
                <w:sz w:val="20"/>
              </w:rPr>
              <w:t>Status</w:t>
            </w:r>
          </w:p>
        </w:tc>
        <w:tc>
          <w:tcPr>
            <w:tcW w:type="dxa" w:w="3024"/>
          </w:tcPr>
          <w:p>
            <w:r>
              <w:rPr>
                <w:rFonts w:ascii="Times New Roman" w:hAnsi="Times New Roman"/>
                <w:b/>
                <w:sz w:val="20"/>
              </w:rPr>
              <w:t>Inhalt</w:t>
            </w:r>
          </w:p>
        </w:tc>
      </w:tr>
      <w:tr>
        <w:tc>
          <w:tcPr>
            <w:tcW w:type="dxa" w:w="3024"/>
          </w:tcPr>
          <w:p>
            <w:r>
              <w:rPr>
                <w:rFonts w:ascii="Times New Roman" w:hAnsi="Times New Roman"/>
                <w:sz w:val="20"/>
              </w:rPr>
              <w:t>Kaufvertrag Erbbaurecht 14.03.2022 (Notar Weinberger)</w:t>
            </w:r>
          </w:p>
        </w:tc>
        <w:tc>
          <w:tcPr>
            <w:tcW w:type="dxa" w:w="3024"/>
          </w:tcPr>
          <w:p>
            <w:r>
              <w:rPr>
                <w:rFonts w:ascii="Times New Roman" w:hAnsi="Times New Roman"/>
                <w:sz w:val="20"/>
              </w:rPr>
              <w:t>Vorhanden</w:t>
            </w:r>
          </w:p>
        </w:tc>
        <w:tc>
          <w:tcPr>
            <w:tcW w:type="dxa" w:w="3024"/>
          </w:tcPr>
          <w:p>
            <w:r>
              <w:rPr>
                <w:rFonts w:ascii="Times New Roman" w:hAnsi="Times New Roman"/>
                <w:sz w:val="20"/>
              </w:rPr>
              <w:t>§ 4 Beschaffenheitszusicherung</w:t>
            </w:r>
          </w:p>
        </w:tc>
      </w:tr>
      <w:tr>
        <w:tc>
          <w:tcPr>
            <w:tcW w:type="dxa" w:w="3024"/>
          </w:tcPr>
          <w:p>
            <w:r>
              <w:rPr>
                <w:rFonts w:ascii="Times New Roman" w:hAnsi="Times New Roman"/>
                <w:sz w:val="20"/>
              </w:rPr>
              <w:t>Altlastenkataster LK Rosenheim (Kat. B-Eintrag)</w:t>
            </w:r>
          </w:p>
        </w:tc>
        <w:tc>
          <w:tcPr>
            <w:tcW w:type="dxa" w:w="3024"/>
          </w:tcPr>
          <w:p>
            <w:r>
              <w:rPr>
                <w:rFonts w:ascii="Times New Roman" w:hAnsi="Times New Roman"/>
                <w:sz w:val="20"/>
              </w:rPr>
              <w:t>Beim LRA anforderbar</w:t>
            </w:r>
          </w:p>
        </w:tc>
        <w:tc>
          <w:tcPr>
            <w:tcW w:type="dxa" w:w="3024"/>
          </w:tcPr>
          <w:p>
            <w:r>
              <w:rPr>
                <w:rFonts w:ascii="Times New Roman" w:hAnsi="Times New Roman"/>
                <w:sz w:val="20"/>
              </w:rPr>
              <w:t>Eintrag Altlastenverdacht</w:t>
            </w:r>
          </w:p>
        </w:tc>
      </w:tr>
      <w:tr>
        <w:tc>
          <w:tcPr>
            <w:tcW w:type="dxa" w:w="3024"/>
          </w:tcPr>
          <w:p>
            <w:r>
              <w:rPr>
                <w:rFonts w:ascii="Times New Roman" w:hAnsi="Times New Roman"/>
                <w:sz w:val="20"/>
              </w:rPr>
              <w:t>Interne Unterlagen Liegenschaftsamt Stadt Rosenheim</w:t>
            </w:r>
          </w:p>
        </w:tc>
        <w:tc>
          <w:tcPr>
            <w:tcW w:type="dxa" w:w="3024"/>
          </w:tcPr>
          <w:p>
            <w:r>
              <w:rPr>
                <w:rFonts w:ascii="Times New Roman" w:hAnsi="Times New Roman"/>
                <w:sz w:val="20"/>
              </w:rPr>
              <w:t>Ggf. Akteneinsicht beantragen</w:t>
            </w:r>
          </w:p>
        </w:tc>
        <w:tc>
          <w:tcPr>
            <w:tcW w:type="dxa" w:w="3024"/>
          </w:tcPr>
          <w:p>
            <w:r>
              <w:rPr>
                <w:rFonts w:ascii="Times New Roman" w:hAnsi="Times New Roman"/>
                <w:sz w:val="20"/>
              </w:rPr>
              <w:t>Kenntnis der Belastung</w:t>
            </w:r>
          </w:p>
        </w:tc>
      </w:tr>
      <w:tr>
        <w:tc>
          <w:tcPr>
            <w:tcW w:type="dxa" w:w="3024"/>
          </w:tcPr>
          <w:p>
            <w:r>
              <w:rPr>
                <w:rFonts w:ascii="Times New Roman" w:hAnsi="Times New Roman"/>
                <w:sz w:val="20"/>
              </w:rPr>
              <w:t>Laboranalysen BayBoden (Prüfbericht 04.02.2026)</w:t>
            </w:r>
          </w:p>
        </w:tc>
        <w:tc>
          <w:tcPr>
            <w:tcW w:type="dxa" w:w="3024"/>
          </w:tcPr>
          <w:p>
            <w:r>
              <w:rPr>
                <w:rFonts w:ascii="Times New Roman" w:hAnsi="Times New Roman"/>
                <w:sz w:val="20"/>
              </w:rPr>
              <w:t>Vorhanden</w:t>
            </w:r>
          </w:p>
        </w:tc>
        <w:tc>
          <w:tcPr>
            <w:tcW w:type="dxa" w:w="3024"/>
          </w:tcPr>
          <w:p>
            <w:r>
              <w:rPr>
                <w:rFonts w:ascii="Times New Roman" w:hAnsi="Times New Roman"/>
                <w:sz w:val="20"/>
              </w:rPr>
              <w:t>Schadstoffwerte</w:t>
            </w:r>
          </w:p>
        </w:tc>
      </w:tr>
      <w:tr>
        <w:tc>
          <w:tcPr>
            <w:tcW w:type="dxa" w:w="3024"/>
          </w:tcPr>
          <w:p>
            <w:r>
              <w:rPr>
                <w:rFonts w:ascii="Times New Roman" w:hAnsi="Times New Roman"/>
                <w:sz w:val="20"/>
              </w:rPr>
              <w:t>GEOplus Detailuntersuchung (ausstehend)</w:t>
            </w:r>
          </w:p>
        </w:tc>
        <w:tc>
          <w:tcPr>
            <w:tcW w:type="dxa" w:w="3024"/>
          </w:tcPr>
          <w:p>
            <w:r>
              <w:rPr>
                <w:rFonts w:ascii="Times New Roman" w:hAnsi="Times New Roman"/>
                <w:sz w:val="20"/>
              </w:rPr>
              <w:t>Beantragt</w:t>
            </w:r>
          </w:p>
        </w:tc>
        <w:tc>
          <w:tcPr>
            <w:tcW w:type="dxa" w:w="3024"/>
          </w:tcPr>
          <w:p>
            <w:r>
              <w:rPr>
                <w:rFonts w:ascii="Times New Roman" w:hAnsi="Times New Roman"/>
                <w:sz w:val="20"/>
              </w:rPr>
              <w:t>Schadstoffausbreitung, Ursachengeschichte</w:t>
            </w:r>
          </w:p>
        </w:tc>
      </w:tr>
    </w:tbl>
    <w:p/>
    <w:p>
      <w:pPr>
        <w:pStyle w:val="Heading2"/>
      </w:pPr>
      <w:r>
        <w:rPr>
          <w:rFonts w:ascii="Times New Roman" w:hAnsi="Times New Roman"/>
        </w:rPr>
        <w:t>D. Anspruchshöhe und Strategie</w:t>
      </w:r>
    </w:p>
    <w:p>
      <w:pPr>
        <w:jc w:val="left"/>
      </w:pPr>
      <w:r>
        <w:rPr>
          <w:b/>
        </w:rPr>
        <w:t>Anspruchshöhe (vorläufig):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Kostenblock</w:t>
            </w:r>
          </w:p>
        </w:tc>
        <w:tc>
          <w:tcPr>
            <w:tcW w:type="dxa" w:w="4536"/>
          </w:tcPr>
          <w:p>
            <w:r>
              <w:rPr>
                <w:rFonts w:ascii="Times New Roman" w:hAnsi="Times New Roman"/>
                <w:b/>
                <w:sz w:val="20"/>
              </w:rPr>
              <w:t>Betrag netto</w:t>
            </w:r>
          </w:p>
        </w:tc>
      </w:tr>
      <w:tr>
        <w:tc>
          <w:tcPr>
            <w:tcW w:type="dxa" w:w="4536"/>
          </w:tcPr>
          <w:p>
            <w:r>
              <w:rPr>
                <w:rFonts w:ascii="Times New Roman" w:hAnsi="Times New Roman"/>
                <w:sz w:val="20"/>
              </w:rPr>
              <w:t>Sanierungskosten (vorläufige Schätzung)</w:t>
            </w:r>
          </w:p>
        </w:tc>
        <w:tc>
          <w:tcPr>
            <w:tcW w:type="dxa" w:w="4536"/>
          </w:tcPr>
          <w:p>
            <w:r>
              <w:rPr>
                <w:rFonts w:ascii="Times New Roman" w:hAnsi="Times New Roman"/>
                <w:sz w:val="20"/>
              </w:rPr>
              <w:t>ca. 751.000–951.000 EUR</w:t>
            </w:r>
          </w:p>
        </w:tc>
      </w:tr>
      <w:tr>
        <w:tc>
          <w:tcPr>
            <w:tcW w:type="dxa" w:w="4536"/>
          </w:tcPr>
          <w:p>
            <w:r>
              <w:rPr>
                <w:rFonts w:ascii="Times New Roman" w:hAnsi="Times New Roman"/>
                <w:sz w:val="20"/>
              </w:rPr>
              <w:t>Aufwand Rechtsvertretung, Gutachterkosten</w:t>
            </w:r>
          </w:p>
        </w:tc>
        <w:tc>
          <w:tcPr>
            <w:tcW w:type="dxa" w:w="4536"/>
          </w:tcPr>
          <w:p>
            <w:r>
              <w:rPr>
                <w:rFonts w:ascii="Times New Roman" w:hAnsi="Times New Roman"/>
                <w:sz w:val="20"/>
              </w:rPr>
              <w:t>ca. 60.000 EUR</w:t>
            </w:r>
          </w:p>
        </w:tc>
      </w:tr>
      <w:tr>
        <w:tc>
          <w:tcPr>
            <w:tcW w:type="dxa" w:w="4536"/>
          </w:tcPr>
          <w:p>
            <w:r>
              <w:rPr>
                <w:rFonts w:ascii="Times New Roman" w:hAnsi="Times New Roman"/>
                <w:sz w:val="20"/>
              </w:rPr>
              <w:t>Nutzungsausfallschaden Lagerhalle (bisher)</w:t>
            </w:r>
          </w:p>
        </w:tc>
        <w:tc>
          <w:tcPr>
            <w:tcW w:type="dxa" w:w="4536"/>
          </w:tcPr>
          <w:p>
            <w:r>
              <w:rPr>
                <w:rFonts w:ascii="Times New Roman" w:hAnsi="Times New Roman"/>
                <w:sz w:val="20"/>
              </w:rPr>
              <w:t>ca. 16.800 EUR</w:t>
            </w:r>
          </w:p>
        </w:tc>
      </w:tr>
      <w:tr>
        <w:tc>
          <w:tcPr>
            <w:tcW w:type="dxa" w:w="4536"/>
          </w:tcPr>
          <w:p>
            <w:r>
              <w:rPr>
                <w:rFonts w:ascii="Times New Roman" w:hAnsi="Times New Roman"/>
                <w:b/>
                <w:sz w:val="20"/>
              </w:rPr>
              <w:t>Gesamt</w:t>
            </w:r>
          </w:p>
        </w:tc>
        <w:tc>
          <w:tcPr>
            <w:tcW w:type="dxa" w:w="4536"/>
          </w:tcPr>
          <w:p>
            <w:r>
              <w:rPr>
                <w:rFonts w:ascii="Times New Roman" w:hAnsi="Times New Roman"/>
                <w:b/>
                <w:sz w:val="20"/>
              </w:rPr>
              <w:t>ca. 828.000–1.028.000 EUR</w:t>
            </w:r>
          </w:p>
        </w:tc>
      </w:tr>
    </w:tbl>
    <w:p>
      <w:pPr>
        <w:jc w:val="left"/>
      </w:pPr>
      <w:r>
        <w:rPr>
          <w:b/>
        </w:rPr>
        <w:t>Strategie:</w:t>
      </w:r>
    </w:p>
    <w:p>
      <w:pPr>
        <w:pStyle w:val="ListNumber"/>
      </w:pPr>
      <w:r>
        <w:t>Zunächst: Einvernehmliche Klärung mit der Stadt Rosenheim unter Hinweis auf den § 4-Beschaffenheitsversprechen und das arglistige Verschweigen — Brief an das Liegenschaftsamt in Vorbereitung.</w:t>
      </w:r>
    </w:p>
    <w:p>
      <w:pPr>
        <w:pStyle w:val="ListNumber"/>
      </w:pPr>
      <w:r>
        <w:t>Falls keine außergerichtliche Lösung: Klage gegen die Stadt Rosenheim (Landgericht München I oder Verwaltungsgericht; Rechtsweg nach § 40 VwGO fraglich, da privatrechtlicher Kaufvertrag im Vordergrund steht — Zivilweg wahrscheinlich richtig).</w:t>
      </w:r>
    </w:p>
    <w:p>
      <w:pPr>
        <w:pStyle w:val="ListNumber"/>
      </w:pPr>
      <w:r>
        <w:t>Parallel: Antrag auf Mitaufnahme der Stadt Rosenheim in die Sanierungsanordnung des LRA (Ausübung des Ermessens nach § 4 Abs. 3 BBodSchG).</w:t>
      </w:r>
    </w:p>
    <w:p/>
    <w:p>
      <w:pPr>
        <w:pStyle w:val="Heading2"/>
      </w:pPr>
      <w:r>
        <w:rPr>
          <w:rFonts w:ascii="Times New Roman" w:hAnsi="Times New Roman"/>
        </w:rPr>
        <w:t>E. Kurznotiz: Haftung der Stadt als Gesellschafterin</w:t>
      </w:r>
    </w:p>
    <w:p>
      <w:pPr>
        <w:jc w:val="left"/>
      </w:pPr>
      <w:r>
        <w:t xml:space="preserve">Die Stadt Rosenheim ist alleinige Gesellschafterin der Saalbau Wendelstein gGmbH. Es ist zu prüfen, ob diese Gesellschafterstellung einen </w:t>
      </w:r>
      <w:r>
        <w:rPr>
          <w:b/>
        </w:rPr>
        <w:t>Haftungsausschluss</w:t>
      </w:r>
      <w:r>
        <w:t xml:space="preserve"> oder eine </w:t>
      </w:r>
      <w:r>
        <w:rPr>
          <w:b/>
        </w:rPr>
        <w:t>Interessenkollision</w:t>
      </w:r>
      <w:r>
        <w:t xml:space="preserve"> begründet. Im Ergebnis: Die Stadt handelt beim Kaufvertrag und beim BBodSchG-Regressverhältnis in einer anderen Eigenschaft (Liegenschaftsverwaltung / öffentliche Hand als Vertragspartner) als bei ihrer Gesellschafterrolle. Ein Ausschluss der Haftung ergibt sich aus der Gesellschafterstellung nicht.</w:t>
      </w:r>
    </w:p>
    <w:p>
      <w:pPr>
        <w:jc w:val="left"/>
      </w:pPr>
      <w:r>
        <w:rPr>
          <w:i/>
        </w:rPr>
        <w:t>Bearbeiterin: RAin Dr. Henriette Niedermair, Stand 10.05.2026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