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18 — Abnahme des Probesaals: Teilabnahme und Vorbehaltserklärung</w:t>
      </w:r>
    </w:p>
    <w:p>
      <w:pPr>
        <w:jc w:val="left"/>
      </w:pPr>
      <w:r>
        <w:rPr>
          <w:b/>
        </w:rPr>
        <w:t>Kanzlei Niedermair Baurecht Rosenheim — AZ NB-2026-0318</w:t>
      </w:r>
    </w:p>
    <w:p/>
    <w:p>
      <w:pPr>
        <w:pStyle w:val="Heading2"/>
      </w:pPr>
      <w:r>
        <w:rPr>
          <w:rFonts w:ascii="Times New Roman" w:hAnsi="Times New Roman"/>
        </w:rPr>
        <w:t>A. Sachverhalt</w:t>
      </w:r>
    </w:p>
    <w:p>
      <w:pPr>
        <w:jc w:val="left"/>
      </w:pPr>
      <w:r>
        <w:t>Der Probesaal (Baukörper 1) wurde im Oktober 2025 fertiggestellt und ist seitdem in Betrieb. Er wurde faktisch genutzt — erste Proben des Rosenheimer Philharmonischen Orchesters fanden ab November 2025 statt. Bauer-Hoch fordert die förmliche Abnahme nach § 12 Abs. 1 VOB/B.</w:t>
      </w:r>
    </w:p>
    <w:p>
      <w:pPr>
        <w:jc w:val="left"/>
      </w:pPr>
      <w:r>
        <w:t>Das Werkstattgebäude (Baukörper 2) ist Gegenstand der Abnahmeverweigerung (Aktenstück 04). Der Probesaal ist davon abzugrenzen: Hier liegen nur 3 der 23 Mängelpositionen vor, davon eine kritische (M-15: Stromschienen nicht geerdet) und eine erhebliche (M-14: Akustikpaneele nicht korrekt verschraubt) sowie eine optische (M-16: fehlender Akustikputz).</w:t>
      </w:r>
    </w:p>
    <w:p/>
    <w:p>
      <w:pPr>
        <w:pStyle w:val="Heading2"/>
      </w:pPr>
      <w:r>
        <w:rPr>
          <w:rFonts w:ascii="Times New Roman" w:hAnsi="Times New Roman"/>
        </w:rPr>
        <w:t>B. Rechtliche Einordnung der Nutzung</w:t>
      </w:r>
    </w:p>
    <w:p>
      <w:pPr>
        <w:pStyle w:val="Heading3"/>
      </w:pPr>
      <w:r>
        <w:rPr>
          <w:rFonts w:ascii="Times New Roman" w:hAnsi="Times New Roman"/>
        </w:rPr>
        <w:t>Faktische Abnahme durch Nutzung?</w:t>
      </w:r>
    </w:p>
    <w:p>
      <w:pPr>
        <w:jc w:val="left"/>
      </w:pPr>
      <w:r>
        <w:t>Gemäß § 12 Abs. 5 Nr. 2 VOB/B gilt das Werk als abgenommen, wenn der Auftraggeber das Werk in Benutzung genommen hat, ohne dass wesentliche Mängel gerügt wurden. Nach der Rechtsprechung des BGH setzt die konkludente Abnahme durch Inbenutzungnahme voraus, dass das Verhalten des Auftraggebers nach den Umständen des Falls den Schluss rechtfertigt, er wolle die Leistung als vertragsgemäß akzeptieren (BGH, Urt. v. 25.03.2004 – VII ZR 453/02, BauR 2004, 1149).</w:t>
      </w:r>
    </w:p>
    <w:p>
      <w:pPr>
        <w:jc w:val="left"/>
      </w:pPr>
      <w:r>
        <w:rPr>
          <w:b/>
        </w:rPr>
        <w:t>Bewertung für den Probesaal:</w:t>
      </w:r>
    </w:p>
    <w:p>
      <w:pPr>
        <w:pStyle w:val="ListBullet"/>
      </w:pPr>
      <w:r>
        <w:t>Nutzung durch die Saalbau seit November 2025</w:t>
      </w:r>
    </w:p>
    <w:p>
      <w:pPr>
        <w:pStyle w:val="ListBullet"/>
      </w:pPr>
      <w:r>
        <w:t>Keine förmliche Abnahme erklärt</w:t>
      </w:r>
    </w:p>
    <w:p>
      <w:pPr>
        <w:pStyle w:val="ListBullet"/>
      </w:pPr>
      <w:r>
        <w:t>Keinerlei Mängelvorbehalt bei Inbenutzungnahme formuliert</w:t>
      </w:r>
    </w:p>
    <w:p>
      <w:pPr>
        <w:jc w:val="left"/>
      </w:pPr>
      <w:r>
        <w:t>Dies spricht zunächst für eine konkludente Abnahme durch Nutzung. Allerdings: Die Mandantin hat zum Zeitpunkt der Nutzungsaufnahme noch keine Kenntnis von den Mängeln M-14, M-15 und M-16 gehabt (Mängelliste wurde erst am 14.04.2026 erstellt, Nutzungsaufnahme Oktober 2025). § 640 Abs. 2 BGB analog: Eine Abnahme bei unbekannten Mängeln ist schadlos für den Auftraggeber, solange er Mängel unverzüglich nach Entdeckung rügt.</w:t>
      </w:r>
    </w:p>
    <w:p>
      <w:pPr>
        <w:jc w:val="left"/>
      </w:pPr>
      <w:r>
        <w:rPr>
          <w:b/>
        </w:rPr>
        <w:t>Empfehlung:</w:t>
      </w:r>
      <w:r>
        <w:t xml:space="preserve"> Förmliche Abnahme des Probesaals mit Vorbehalt der 3 bekannten Mängelpositionen erklären (§ 12 Abs. 5 Nr. 1 VOB/B), sobald Mängelposition M-15 (Erdung Stromschienen) beseitigt ist. M-14 und M-16 sind als Vorbehalte aufzunehmen.</w:t>
      </w:r>
    </w:p>
    <w:p/>
    <w:p>
      <w:pPr>
        <w:pStyle w:val="Heading2"/>
      </w:pPr>
      <w:r>
        <w:rPr>
          <w:rFonts w:ascii="Times New Roman" w:hAnsi="Times New Roman"/>
        </w:rPr>
        <w:t>C. Erklärung Teilabnahme Probesaal (Entwurf)</w:t>
      </w:r>
    </w:p>
    <w:p>
      <w:pPr>
        <w:jc w:val="left"/>
      </w:pPr>
      <w:r>
        <w:rPr>
          <w:b/>
        </w:rPr>
        <w:t>Abnahmeerklärung mit Mängelvorbehalt</w:t>
      </w:r>
    </w:p>
    <w:p>
      <w:pPr>
        <w:jc w:val="left"/>
      </w:pPr>
      <w:r>
        <w:t>(Entwurf, noch nicht abgegeben — abhängig von Beseitigung M-15)</w:t>
      </w:r>
    </w:p>
    <w:p>
      <w:pPr>
        <w:jc w:val="left"/>
      </w:pPr>
      <w:r>
        <w:rPr>
          <w:b/>
        </w:rPr>
        <w:t>Datum:</w:t>
      </w:r>
      <w:r>
        <w:t xml:space="preserve"> [nach Beseitigung M-15]</w:t>
      </w:r>
    </w:p>
    <w:p>
      <w:pPr>
        <w:jc w:val="left"/>
      </w:pPr>
      <w:r>
        <w:t xml:space="preserve">Die Saalbau Wendelstein gGmbH erklärt die </w:t>
      </w:r>
      <w:r>
        <w:rPr>
          <w:b/>
        </w:rPr>
        <w:t>förmliche Teilabnahme</w:t>
      </w:r>
      <w:r>
        <w:t xml:space="preserve"> der Bauleistungen für Baukörper 1 (Probesaal) des Bauvorhabens Wittelsbacherstraße 102, 83022 Rosenheim, gemäß § 12 Abs. 5 Nr. 1 VOB/B </w:t>
      </w:r>
      <w:r>
        <w:rPr>
          <w:b/>
        </w:rPr>
        <w:t>mit folgendem Mängelvorbehalt: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Mängelposition (lt. Mängelliste 14.04.2026)</w:t>
            </w:r>
          </w:p>
        </w:tc>
        <w:tc>
          <w:tcPr>
            <w:tcW w:type="dxa" w:w="3024"/>
          </w:tcPr>
          <w:p>
            <w:r>
              <w:rPr>
                <w:rFonts w:ascii="Times New Roman" w:hAnsi="Times New Roman"/>
                <w:b/>
                <w:sz w:val="20"/>
              </w:rPr>
              <w:t>Art</w:t>
            </w:r>
          </w:p>
        </w:tc>
      </w:tr>
      <w:tr>
        <w:tc>
          <w:tcPr>
            <w:tcW w:type="dxa" w:w="3024"/>
          </w:tcPr>
          <w:p>
            <w:r>
              <w:rPr>
                <w:rFonts w:ascii="Times New Roman" w:hAnsi="Times New Roman"/>
                <w:sz w:val="20"/>
              </w:rPr>
              <w:t>M-14</w:t>
            </w:r>
          </w:p>
        </w:tc>
        <w:tc>
          <w:tcPr>
            <w:tcW w:type="dxa" w:w="3024"/>
          </w:tcPr>
          <w:p>
            <w:r>
              <w:rPr>
                <w:rFonts w:ascii="Times New Roman" w:hAnsi="Times New Roman"/>
                <w:sz w:val="20"/>
              </w:rPr>
              <w:t>Deckenuntersicht Probesaal: 7 Akustikpaneele nicht plangemäß verschraubt</w:t>
            </w:r>
          </w:p>
        </w:tc>
        <w:tc>
          <w:tcPr>
            <w:tcW w:type="dxa" w:w="3024"/>
          </w:tcPr>
          <w:p>
            <w:r>
              <w:rPr>
                <w:rFonts w:ascii="Times New Roman" w:hAnsi="Times New Roman"/>
                <w:sz w:val="20"/>
              </w:rPr>
              <w:t>Erheblich</w:t>
            </w:r>
          </w:p>
        </w:tc>
      </w:tr>
      <w:tr>
        <w:tc>
          <w:tcPr>
            <w:tcW w:type="dxa" w:w="3024"/>
          </w:tcPr>
          <w:p>
            <w:r>
              <w:rPr>
                <w:rFonts w:ascii="Times New Roman" w:hAnsi="Times New Roman"/>
                <w:sz w:val="20"/>
              </w:rPr>
              <w:t>M-16</w:t>
            </w:r>
          </w:p>
        </w:tc>
        <w:tc>
          <w:tcPr>
            <w:tcW w:type="dxa" w:w="3024"/>
          </w:tcPr>
          <w:p>
            <w:r>
              <w:rPr>
                <w:rFonts w:ascii="Times New Roman" w:hAnsi="Times New Roman"/>
                <w:sz w:val="20"/>
              </w:rPr>
              <w:t>Fehlender Akustikputz Wandfläche W-PS-03, ca. 12 m²</w:t>
            </w:r>
          </w:p>
        </w:tc>
        <w:tc>
          <w:tcPr>
            <w:tcW w:type="dxa" w:w="3024"/>
          </w:tcPr>
          <w:p>
            <w:r>
              <w:rPr>
                <w:rFonts w:ascii="Times New Roman" w:hAnsi="Times New Roman"/>
                <w:sz w:val="20"/>
              </w:rPr>
              <w:t>Optisch</w:t>
            </w:r>
          </w:p>
        </w:tc>
      </w:tr>
    </w:tbl>
    <w:p>
      <w:pPr>
        <w:jc w:val="left"/>
      </w:pPr>
      <w:r>
        <w:rPr>
          <w:b/>
        </w:rPr>
        <w:t>Ausdrücklicher Vorbehalt aller Mängelansprüche</w:t>
      </w:r>
      <w:r>
        <w:t xml:space="preserve"> gemäß § 13 VOB/B hinsichtlich der vorgenannten Mängelpositionen.</w:t>
      </w:r>
    </w:p>
    <w:p>
      <w:pPr>
        <w:jc w:val="left"/>
      </w:pPr>
      <w:r>
        <w:t>Der Gewährleistungszeitraum gemäß § 13 Abs. 4 Nr. 1 VOB/B (4 Jahre für Bauwerke) beginnt mit dieser Abnahmeerklärung zu laufen.</w:t>
      </w:r>
    </w:p>
    <w:p/>
    <w:p>
      <w:pPr>
        <w:pStyle w:val="Heading2"/>
      </w:pPr>
      <w:r>
        <w:rPr>
          <w:rFonts w:ascii="Times New Roman" w:hAnsi="Times New Roman"/>
        </w:rPr>
        <w:t>D. Auswirkungen auf den Restwerklohn</w:t>
      </w:r>
    </w:p>
    <w:p>
      <w:pPr>
        <w:jc w:val="left"/>
      </w:pPr>
      <w:r>
        <w:t>Mit Abnahme des Probesaals wird der auf Baukörper 1 entfallende Restwerklohn fällig. Die Kanzlei hat berechnet: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netto</w:t>
            </w:r>
          </w:p>
        </w:tc>
      </w:tr>
      <w:tr>
        <w:tc>
          <w:tcPr>
            <w:tcW w:type="dxa" w:w="4536"/>
          </w:tcPr>
          <w:p>
            <w:r>
              <w:rPr>
                <w:rFonts w:ascii="Times New Roman" w:hAnsi="Times New Roman"/>
                <w:sz w:val="20"/>
              </w:rPr>
              <w:t>Vertragsanteil Probesaal (Pauschalpreis, Schätzung ca. 35 %)</w:t>
            </w:r>
          </w:p>
        </w:tc>
        <w:tc>
          <w:tcPr>
            <w:tcW w:type="dxa" w:w="4536"/>
          </w:tcPr>
          <w:p>
            <w:r>
              <w:rPr>
                <w:rFonts w:ascii="Times New Roman" w:hAnsi="Times New Roman"/>
                <w:sz w:val="20"/>
              </w:rPr>
              <w:t>ca. 1.498.000 EUR</w:t>
            </w:r>
          </w:p>
        </w:tc>
      </w:tr>
      <w:tr>
        <w:tc>
          <w:tcPr>
            <w:tcW w:type="dxa" w:w="4536"/>
          </w:tcPr>
          <w:p>
            <w:r>
              <w:rPr>
                <w:rFonts w:ascii="Times New Roman" w:hAnsi="Times New Roman"/>
                <w:sz w:val="20"/>
              </w:rPr>
              <w:t>Abzüglich bereits bezahlt (anteilig)</w:t>
            </w:r>
          </w:p>
        </w:tc>
        <w:tc>
          <w:tcPr>
            <w:tcW w:type="dxa" w:w="4536"/>
          </w:tcPr>
          <w:p>
            <w:r>
              <w:rPr>
                <w:rFonts w:ascii="Times New Roman" w:hAnsi="Times New Roman"/>
                <w:sz w:val="20"/>
              </w:rPr>
              <w:t>ca. 1.330.000 EUR</w:t>
            </w:r>
          </w:p>
        </w:tc>
      </w:tr>
      <w:tr>
        <w:tc>
          <w:tcPr>
            <w:tcW w:type="dxa" w:w="4536"/>
          </w:tcPr>
          <w:p>
            <w:r>
              <w:rPr>
                <w:rFonts w:ascii="Times New Roman" w:hAnsi="Times New Roman"/>
                <w:sz w:val="20"/>
              </w:rPr>
              <w:t>Offen Baukörper 1</w:t>
            </w:r>
          </w:p>
        </w:tc>
        <w:tc>
          <w:tcPr>
            <w:tcW w:type="dxa" w:w="4536"/>
          </w:tcPr>
          <w:p>
            <w:r>
              <w:rPr>
                <w:rFonts w:ascii="Times New Roman" w:hAnsi="Times New Roman"/>
                <w:sz w:val="20"/>
              </w:rPr>
              <w:t>ca. 168.000 EUR</w:t>
            </w:r>
          </w:p>
        </w:tc>
      </w:tr>
      <w:tr>
        <w:tc>
          <w:tcPr>
            <w:tcW w:type="dxa" w:w="4536"/>
          </w:tcPr>
          <w:p>
            <w:r>
              <w:rPr>
                <w:rFonts w:ascii="Times New Roman" w:hAnsi="Times New Roman"/>
                <w:sz w:val="20"/>
              </w:rPr>
              <w:t>Abzüglich Mängeleinbehalt M-14 (Schätzung)</w:t>
            </w:r>
          </w:p>
        </w:tc>
        <w:tc>
          <w:tcPr>
            <w:tcW w:type="dxa" w:w="4536"/>
          </w:tcPr>
          <w:p>
            <w:r>
              <w:rPr>
                <w:rFonts w:ascii="Times New Roman" w:hAnsi="Times New Roman"/>
                <w:sz w:val="20"/>
              </w:rPr>
              <w:t>./. 14.000 EUR</w:t>
            </w:r>
          </w:p>
        </w:tc>
      </w:tr>
      <w:tr>
        <w:tc>
          <w:tcPr>
            <w:tcW w:type="dxa" w:w="4536"/>
          </w:tcPr>
          <w:p>
            <w:r>
              <w:rPr>
                <w:rFonts w:ascii="Times New Roman" w:hAnsi="Times New Roman"/>
                <w:sz w:val="20"/>
              </w:rPr>
              <w:t>Abzüglich Mängeleinbehalt M-16 (Schätzung)</w:t>
            </w:r>
          </w:p>
        </w:tc>
        <w:tc>
          <w:tcPr>
            <w:tcW w:type="dxa" w:w="4536"/>
          </w:tcPr>
          <w:p>
            <w:r>
              <w:rPr>
                <w:rFonts w:ascii="Times New Roman" w:hAnsi="Times New Roman"/>
                <w:sz w:val="20"/>
              </w:rPr>
              <w:t>./. 4.500 EUR</w:t>
            </w:r>
          </w:p>
        </w:tc>
      </w:tr>
      <w:tr>
        <w:tc>
          <w:tcPr>
            <w:tcW w:type="dxa" w:w="4536"/>
          </w:tcPr>
          <w:p>
            <w:r>
              <w:rPr>
                <w:rFonts w:ascii="Times New Roman" w:hAnsi="Times New Roman"/>
                <w:b/>
                <w:sz w:val="20"/>
              </w:rPr>
              <w:t>Zu zahlender Betrag nach Abnahme Probesaal</w:t>
            </w:r>
          </w:p>
        </w:tc>
        <w:tc>
          <w:tcPr>
            <w:tcW w:type="dxa" w:w="4536"/>
          </w:tcPr>
          <w:p>
            <w:r>
              <w:rPr>
                <w:rFonts w:ascii="Times New Roman" w:hAnsi="Times New Roman"/>
                <w:b/>
                <w:sz w:val="20"/>
              </w:rPr>
              <w:t>ca. 149.500 EUR</w:t>
            </w:r>
          </w:p>
        </w:tc>
      </w:tr>
    </w:tbl>
    <w:p>
      <w:pPr>
        <w:jc w:val="left"/>
      </w:pPr>
      <w:r>
        <w:t>Dieser Betrag wird erst fällig, wenn:</w:t>
      </w:r>
    </w:p>
    <w:p>
      <w:pPr>
        <w:pStyle w:val="ListNumber"/>
      </w:pPr>
      <w:r>
        <w:t>M-15 vollständig beseitigt wurde (Voraussetzung für Abnahme)</w:t>
      </w:r>
    </w:p>
    <w:p>
      <w:pPr>
        <w:pStyle w:val="ListNumber"/>
      </w:pPr>
      <w:r>
        <w:t>Mängelpositionen M-14 und M-16 im Einbehalt gesichert sind</w:t>
      </w:r>
    </w:p>
    <w:p>
      <w:pPr>
        <w:jc w:val="left"/>
      </w:pPr>
      <w:r>
        <w:t>Die Gewährleistungsbürgschaft (5 % des Pauschalpreises) bleibt in voller Höhe bestehen bis zur Abnahme des Gesamtvorhabens.</w:t>
      </w:r>
    </w:p>
    <w:p/>
    <w:p>
      <w:pPr>
        <w:pStyle w:val="Heading2"/>
      </w:pPr>
      <w:r>
        <w:rPr>
          <w:rFonts w:ascii="Times New Roman" w:hAnsi="Times New Roman"/>
        </w:rPr>
        <w:t>E. Abgrenzung Baukörper 2 und 3</w:t>
      </w:r>
    </w:p>
    <w:p>
      <w:pPr>
        <w:jc w:val="left"/>
      </w:pPr>
      <w:r>
        <w:t>Die Abnahmeerklärung bezieht sich ausdrücklich nur auf Baukörper 1 (Probesaal). Für Baukörper 2 (Werkstätten) und Baukörper 3 (Lagerhalle) besteht weiterhin:</w:t>
      </w:r>
    </w:p>
    <w:p>
      <w:pPr>
        <w:pStyle w:val="ListBullet"/>
      </w:pPr>
      <w:r>
        <w:t>Baukörper 2: Abnahmeverweigerung wegen wesentlicher Mängel (M-01 bis M-15)</w:t>
      </w:r>
    </w:p>
    <w:p>
      <w:pPr>
        <w:pStyle w:val="ListBullet"/>
      </w:pPr>
      <w:r>
        <w:t>Baukörper 3: Noch nicht fertiggestellt (Bauarbeiten unterbrochen wegen Kontamination)</w:t>
      </w:r>
    </w:p>
    <w:p>
      <w:pPr>
        <w:jc w:val="left"/>
      </w:pPr>
      <w:r>
        <w:t>Das Vertragswerk ist ein einheitlicher GU-Vertrag. Die Teilabnahme ist zulässig, wenn die abzunehmenden Leistungen (Baukörper 1) tatsächlich abtrennbar sind (BGH, Urt. v. 22.10.1981 – VII ZR 310/79, BGHZ 82, 100). Dies ist vorliegend der Fall: Baukörper 1 ist technisch selbstständig und bereits in Betrieb.</w:t>
      </w:r>
    </w:p>
    <w:p>
      <w:pPr>
        <w:jc w:val="left"/>
      </w:pPr>
      <w:r>
        <w:rPr>
          <w:i/>
        </w:rPr>
        <w:t>Bearbeiterin: RAin Dr. Henriette Niedermair, Stand 20.06.2026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