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— Strategie, Vergleichskorridor und Kostenprognose</w:t>
      </w:r>
    </w:p>
    <w:p>
      <w:pPr>
        <w:jc w:val="left"/>
      </w:pPr>
      <w:r>
        <w:rPr>
          <w:b/>
        </w:rPr>
        <w:t>Kanzlei Niedermair Baurecht Rosenheim — AZ NB-2026-0318</w:t>
      </w:r>
    </w:p>
    <w:p>
      <w:pPr>
        <w:jc w:val="left"/>
      </w:pPr>
      <w:r>
        <w:rPr>
          <w:i/>
        </w:rPr>
        <w:t>Interne Strategienotiz — vertraulich</w:t>
      </w:r>
    </w:p>
    <w:p/>
    <w:p>
      <w:pPr>
        <w:pStyle w:val="Heading2"/>
      </w:pPr>
      <w:r>
        <w:rPr>
          <w:rFonts w:ascii="Times New Roman" w:hAnsi="Times New Roman"/>
        </w:rPr>
        <w:t>A. Gesamtüberblick der Streitkomplexe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Streitkomplex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Parteien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Anspruch Mandantin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Gegenrisiko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 Werkmangel Werkstattgebäude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Saalbau ↔ Bauer-Hoch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180.200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Abnahmeforderung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Fristsetzung abgelaufen, Klage in Vorbereitung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 HOAI-Honorarstreit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Saalbau ↔ Maierhoffer + Streibl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Zurückbehaltung 57.230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Klage auf 96.280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Schreiben ausgetauscht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 BBodSchG-Sanierung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Saalbau ↔ Bauer-Hoch / Stadt Rosenheim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828.000–1.028.000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Voll von Mandantin vorauszufinanzieren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DU läuft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 Bauablaufstörung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Bauer-Hoch ↔ Saalbau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Gegenforderung ca. 320.000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Ankündigung vorhanden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 Regress Stadt Rosenheim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Saalbau ↔ Stadt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828.000–1.028.000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Rechtsweg 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Brief in Vorbereitung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B. Bewertung der Verfahrensrisiken</w:t>
      </w:r>
    </w:p>
    <w:p>
      <w:pPr>
        <w:pStyle w:val="Heading3"/>
      </w:pPr>
      <w:r>
        <w:rPr>
          <w:rFonts w:ascii="Times New Roman" w:hAnsi="Times New Roman"/>
        </w:rPr>
        <w:t>Komplex 1: Werkmangel</w:t>
      </w:r>
    </w:p>
    <w:p>
      <w:pPr>
        <w:jc w:val="left"/>
      </w:pPr>
      <w:r>
        <w:rPr>
          <w:b/>
        </w:rPr>
        <w:t>Chancen:</w:t>
      </w:r>
      <w:r>
        <w:t xml:space="preserve"> Hoch. Das Privatgutachten Riedhof ist methodisch solide; die Messwerte (D = 0,55 statt 0,75; fehlende Randstabbewehrung) sind objektiv nachweisbar. Das gerichtliche Gutachten im selbstständigen Beweisverfahren wird voraussichtlich die Mängelbeurteilung bestätigen.</w:t>
      </w:r>
    </w:p>
    <w:p>
      <w:pPr>
        <w:jc w:val="left"/>
      </w:pPr>
      <w:r>
        <w:rPr>
          <w:b/>
        </w:rPr>
        <w:t>Risiken:</w:t>
      </w:r>
      <w:r>
        <w:t xml:space="preserve"> Gericht könnte (teilweise) auf Schwindungsrisse erkennen, die nicht dem GU zuzurechnen sind. Betonqualität C 25/30 ist eingehalten; dies könnte als Entlastung für Bauer-Hoch gewertet werden.</w:t>
      </w:r>
    </w:p>
    <w:p>
      <w:pPr>
        <w:jc w:val="left"/>
      </w:pPr>
      <w:r>
        <w:rPr>
          <w:b/>
        </w:rPr>
        <w:t>Wahrscheinlichkeit Erfolg (Kanzleieinschätzung):</w:t>
      </w:r>
      <w:r>
        <w:t xml:space="preserve"> 75–80 % in der Hauptsache.</w:t>
      </w:r>
    </w:p>
    <w:p>
      <w:pPr>
        <w:pStyle w:val="Heading3"/>
      </w:pPr>
      <w:r>
        <w:rPr>
          <w:rFonts w:ascii="Times New Roman" w:hAnsi="Times New Roman"/>
        </w:rPr>
        <w:t>Komplex 2: HOAI-Streit</w:t>
      </w:r>
    </w:p>
    <w:p>
      <w:pPr>
        <w:jc w:val="left"/>
      </w:pPr>
      <w:r>
        <w:rPr>
          <w:b/>
        </w:rPr>
        <w:t>Chancen:</w:t>
      </w:r>
      <w:r>
        <w:t xml:space="preserve"> Sehr hoch. Die EuGH-Entscheidung und BGH-Folgerechtsprechung stützen eindeutig die Vertragspauschalposition der Mandantin. Maierhoffer + Streibl haben keine überzeugende Grundlage für eine Anpassung nach § 6.2 (Sanierungskosten nicht anrechenbar).</w:t>
      </w:r>
    </w:p>
    <w:p>
      <w:pPr>
        <w:jc w:val="left"/>
      </w:pPr>
      <w:r>
        <w:rPr>
          <w:b/>
        </w:rPr>
        <w:t>Risiken:</w:t>
      </w:r>
      <w:r>
        <w:t xml:space="preserve"> Gegenforderung aus Planungsverantwortung (Bewehrungskoordination) birgt Risiko des Gegenangriffs; IBr Eschelmann könnte Verantwortung auf sich nehmen, was Maierhoffer entlastet.</w:t>
      </w:r>
    </w:p>
    <w:p>
      <w:pPr>
        <w:jc w:val="left"/>
      </w:pPr>
      <w:r>
        <w:rPr>
          <w:b/>
        </w:rPr>
        <w:t>Wahrscheinlichkeit Erfolg:</w:t>
      </w:r>
      <w:r>
        <w:t xml:space="preserve"> 85 % für die Zurückweisung der Mehrforderung.</w:t>
      </w:r>
    </w:p>
    <w:p>
      <w:pPr>
        <w:pStyle w:val="Heading3"/>
      </w:pPr>
      <w:r>
        <w:rPr>
          <w:rFonts w:ascii="Times New Roman" w:hAnsi="Times New Roman"/>
        </w:rPr>
        <w:t>Komplex 3+5: BBodSchG / Regress Stadt</w:t>
      </w:r>
    </w:p>
    <w:p>
      <w:pPr>
        <w:jc w:val="left"/>
      </w:pPr>
      <w:r>
        <w:rPr>
          <w:b/>
        </w:rPr>
        <w:t>Chancen:</w:t>
      </w:r>
      <w:r>
        <w:t xml:space="preserve"> Mittel. Arglistiges Verschweigen ist schwer zu beweisen; § 4 Erbbaurechtsvergabevertrag gibt nur Beschaffenheitszusicherung, keine Gewährleistung gegen Altlasten. § 24 Abs. 2 BBodSchG-Ausgleich ist möglich, aber Verfahren dauert lange.</w:t>
      </w:r>
    </w:p>
    <w:p>
      <w:pPr>
        <w:jc w:val="left"/>
      </w:pPr>
      <w:r>
        <w:rPr>
          <w:b/>
        </w:rPr>
        <w:t>Risiken:</w:t>
      </w:r>
      <w:r>
        <w:t xml:space="preserve"> Stadt Rosenheim ist selbst Gesellschafterin der Mandantin — politische Sensibilität; Gemeinderat muss ggf. Prozessentscheidung treffen.</w:t>
      </w:r>
    </w:p>
    <w:p>
      <w:pPr>
        <w:jc w:val="left"/>
      </w:pPr>
      <w:r>
        <w:rPr>
          <w:b/>
        </w:rPr>
        <w:t>Wahrscheinlichkeit Erfolg anteilig:</w:t>
      </w:r>
      <w:r>
        <w:t xml:space="preserve"> 50–60 %; außergerichtliche Einigung wahrscheinlicher.</w:t>
      </w:r>
    </w:p>
    <w:p>
      <w:pPr>
        <w:pStyle w:val="Heading3"/>
      </w:pPr>
      <w:r>
        <w:rPr>
          <w:rFonts w:ascii="Times New Roman" w:hAnsi="Times New Roman"/>
        </w:rPr>
        <w:t>Komplex 4: Gegenforderung Bauer-Hoch Bauablauf</w:t>
      </w:r>
    </w:p>
    <w:p>
      <w:pPr>
        <w:jc w:val="left"/>
      </w:pPr>
      <w:r>
        <w:rPr>
          <w:b/>
        </w:rPr>
        <w:t>Risiko:</w:t>
      </w:r>
      <w:r>
        <w:t xml:space="preserve"> Real. Baugrundrisiko liegt bei der Bauherrin (§ 7 GU-Vertrag). Entschädigungsanspruch nach § 6 Abs. 6 VOB/B / § 642 BGB ist dem Grunde nach berechtigt.</w:t>
      </w:r>
    </w:p>
    <w:p>
      <w:pPr>
        <w:jc w:val="left"/>
      </w:pPr>
      <w:r>
        <w:rPr>
          <w:b/>
        </w:rPr>
        <w:t>Abwehr:</w:t>
      </w:r>
      <w:r>
        <w:t xml:space="preserve"> Höhe (320.000 EUR) deutlich bestreitbar; Auslastungsnachweis fehlt. Realistisch: 100.000–150.000 EUR berechtigte Gegenforderung.</w:t>
      </w:r>
    </w:p>
    <w:p>
      <w:pPr>
        <w:jc w:val="left"/>
      </w:pPr>
      <w:r>
        <w:rPr>
          <w:b/>
        </w:rPr>
        <w:t>Netto-Gesamtbild (Schätzung):</w:t>
      </w:r>
    </w:p>
    <w:p>
      <w:pPr>
        <w:jc w:val="left"/>
      </w:pPr>
      <w:r>
        <w:t>Ansprüche Mandantin: 180.200 EUR (Mängel) + Regressanteil Kontamination (50 % von 900.000 EUR = 450.000 EUR)</w:t>
      </w:r>
    </w:p>
    <w:p>
      <w:pPr>
        <w:jc w:val="left"/>
      </w:pPr>
      <w:r>
        <w:t>Gegenforderung Bauer-Hoch: 100.000–150.000 EUR</w:t>
      </w:r>
    </w:p>
    <w:p>
      <w:pPr>
        <w:jc w:val="left"/>
      </w:pPr>
      <w:r>
        <w:rPr>
          <w:b/>
        </w:rPr>
        <w:t>Nettoposition:</w:t>
      </w:r>
      <w:r>
        <w:t xml:space="preserve"> ca. 480.000–530.000 EUR zugunsten der Mandantin</w:t>
      </w:r>
    </w:p>
    <w:p/>
    <w:p>
      <w:pPr>
        <w:pStyle w:val="Heading2"/>
      </w:pPr>
      <w:r>
        <w:rPr>
          <w:rFonts w:ascii="Times New Roman" w:hAnsi="Times New Roman"/>
        </w:rPr>
        <w:t>C. Vergleichskorridore</w:t>
      </w:r>
    </w:p>
    <w:p>
      <w:pPr>
        <w:pStyle w:val="Heading3"/>
      </w:pPr>
      <w:r>
        <w:rPr>
          <w:rFonts w:ascii="Times New Roman" w:hAnsi="Times New Roman"/>
        </w:rPr>
        <w:t>Komplex 1 (Werkmangel): Vergleichskorridor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 Case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Bauer-Hoch beseitigt alle Mängel + zahlt SV-Kosten (12.000 EUR) + Nutzungsausfall (22.000 EUR) = ca. 34.000 EUR Zahlungsanspruch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Mittelfall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 120.000–140.000 EUR (SV-Kosten + Mangelbeseitigung teilweise Selbstvornahme + Nutzungsausfall)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Worst Case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60.000 EUR (Gericht anerkennt nur Teilmängel)</w:t>
            </w:r>
          </w:p>
        </w:tc>
      </w:tr>
    </w:tbl>
    <w:p>
      <w:pPr>
        <w:jc w:val="left"/>
      </w:pPr>
      <w:r>
        <w:rPr>
          <w:b/>
        </w:rPr>
        <w:t>Empfohlener Vergleichskorridorstart:</w:t>
      </w:r>
      <w:r>
        <w:t xml:space="preserve"> 150.000 EUR Forderung; Einigung bei 100.000–120.000 EUR denkbar.</w:t>
      </w:r>
    </w:p>
    <w:p>
      <w:pPr>
        <w:pStyle w:val="Heading3"/>
      </w:pPr>
      <w:r>
        <w:rPr>
          <w:rFonts w:ascii="Times New Roman" w:hAnsi="Times New Roman"/>
        </w:rPr>
        <w:t>Komplex 2 (HOAI): Vergleichskorridor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Szenario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Best Case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Maierhoffer akzeptiert 47.770 EUR Nachzahlung; Planungsmangel wird außergerichtlich mit 30.000 EUR abgegolten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Mittelfall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Zahlung 47.770 EUR + Aufrechnung Gegenforderung 25.000 EUR = Nettomehrbelastung 22.770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Worst Case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 Maierhoffer; Gericht spricht 70.000 EUR zu (Tabellenwerte tatsächlich als Anhaltspunkt)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Vergleich bei Zahlung 50.000–60.000 EUR Gesamtsettlement mit Maierhoffer.</w:t>
      </w:r>
    </w:p>
    <w:p/>
    <w:p>
      <w:pPr>
        <w:pStyle w:val="Heading2"/>
      </w:pPr>
      <w:r>
        <w:rPr>
          <w:rFonts w:ascii="Times New Roman" w:hAnsi="Times New Roman"/>
        </w:rPr>
        <w:t>D. Zeitachse und Prozesskostenprognose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Kosten (Anwaltskosten + Gerichtskosten, Schätzung)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Schiedsgutachten (SV Rosendahl)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07–09/2026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Selbst. Beweisverfahren (bis Gutachten SV Seibold)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06–12/2026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Schlichtung Ingenieurekammer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07–10/2026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Hauptsacheklage LG Traunstein (bis Urteil 1. Instanz)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11/2026–12/2027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85.000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Berufung OLG München (falls erforderlich)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2028–2029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Regress Stadt Rosenheim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2027–2028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Gesamtprozesskosten (Schätzung)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ca. 231.000 EUR</w:t>
            </w:r>
          </w:p>
        </w:tc>
      </w:tr>
    </w:tbl>
    <w:p>
      <w:pPr>
        <w:jc w:val="left"/>
      </w:pPr>
      <w:r>
        <w:t xml:space="preserve">Dem stehen Ansprüche von ca. 480.000–530.000 EUR gegenüber. </w:t>
      </w:r>
      <w:r>
        <w:rPr>
          <w:b/>
        </w:rPr>
        <w:t>Das Kosten-Nutzen-Verhältnis spricht für die Klage</w:t>
      </w:r>
      <w:r>
        <w:t xml:space="preserve"> — sofern Bauer-Hoch keinen ernsthaften Vergleich anbietet.</w:t>
      </w:r>
    </w:p>
    <w:p/>
    <w:p>
      <w:pPr>
        <w:pStyle w:val="Heading2"/>
      </w:pPr>
      <w:r>
        <w:rPr>
          <w:rFonts w:ascii="Times New Roman" w:hAnsi="Times New Roman"/>
        </w:rPr>
        <w:t>E. Empfehlung</w:t>
      </w:r>
    </w:p>
    <w:p>
      <w:pPr>
        <w:pStyle w:val="ListNumber"/>
      </w:pPr>
      <w:r>
        <w:rPr>
          <w:b/>
        </w:rPr>
        <w:t>Schiedsgutachten:</w:t>
      </w:r>
      <w:r>
        <w:t xml:space="preserve"> SV Rosendahl abwarten (September 2026); günstige Feststellung als Druckmittel nutzen.</w:t>
      </w:r>
    </w:p>
    <w:p>
      <w:pPr>
        <w:pStyle w:val="ListNumber"/>
      </w:pPr>
      <w:r>
        <w:rPr>
          <w:b/>
        </w:rPr>
        <w:t>Vergleichsofferte:</w:t>
      </w:r>
      <w:r>
        <w:t xml:space="preserve"> Nach Vorliegen Schiedsgutachten: Vergleichsgespräch mit Bauer-Hoch zu Komplex 1 und 4 (Mängel + Bauablauf); angestrebte Einigung: Bauer-Hoch beseitigt Mängel + zahlt 80.000 EUR pauschal; Mandantin verzichtet auf Nutzungsausfall.</w:t>
      </w:r>
    </w:p>
    <w:p>
      <w:pPr>
        <w:pStyle w:val="ListNumber"/>
      </w:pPr>
      <w:r>
        <w:rPr>
          <w:b/>
        </w:rPr>
        <w:t>HOAI-Einigung:</w:t>
      </w:r>
      <w:r>
        <w:t xml:space="preserve"> Zahlung 47.770 EUR wie angeboten; Planungsmangel Maierhoffer ggf. außergerichtlich regeln.</w:t>
      </w:r>
    </w:p>
    <w:p>
      <w:pPr>
        <w:pStyle w:val="ListNumber"/>
      </w:pPr>
      <w:r>
        <w:rPr>
          <w:b/>
        </w:rPr>
        <w:t>Kontamination:</w:t>
      </w:r>
      <w:r>
        <w:t xml:space="preserve"> Außergerichtliches Gespräch mit Stadt Rosenheim muss vor Klage versucht werden; Klage erst wenn DU-Ergebnis und Sanierungskosten feststehen.</w:t>
      </w:r>
    </w:p>
    <w:p>
      <w:pPr>
        <w:jc w:val="left"/>
      </w:pPr>
      <w:r>
        <w:rPr>
          <w:i/>
        </w:rPr>
        <w:t>Bearbeiterin: RAin Dr. Henriette Niedermair, Stand 28.06.2026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