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Schlichtungsantrag Bayerische Ingenieurekammer-Bau</w:t>
      </w:r>
    </w:p>
    <w:p>
      <w:pPr>
        <w:jc w:val="left"/>
      </w:pPr>
      <w:r>
        <w:rPr>
          <w:b/>
        </w:rPr>
        <w:t>Kanzlei Niedermair Baurecht Rosenheim — AZ NB-2026-0318</w:t>
      </w:r>
    </w:p>
    <w:p/>
    <w:p>
      <w:pPr>
        <w:pStyle w:val="Heading2"/>
      </w:pPr>
      <w:r>
        <w:rPr>
          <w:rFonts w:ascii="Times New Roman" w:hAnsi="Times New Roman"/>
        </w:rPr>
        <w:t>A. Schreiben an die Schlichtungsstelle vom 20. Mai 2026</w:t>
      </w:r>
    </w:p>
    <w:p/>
    <w:p>
      <w:pPr>
        <w:jc w:val="left"/>
      </w:pPr>
      <w:r>
        <w:rPr>
          <w:b/>
        </w:rPr>
        <w:t>KANZLEI NIEDERMAIR BAURECHT</w:t>
      </w:r>
    </w:p>
    <w:p>
      <w:pPr>
        <w:jc w:val="left"/>
      </w:pPr>
      <w:r>
        <w:t>Dr. Henriette Niedermair — Fachanwältin für Bau- und Architektenrecht</w:t>
      </w:r>
    </w:p>
    <w:p>
      <w:pPr>
        <w:jc w:val="left"/>
      </w:pPr>
      <w:r>
        <w:t>Ludwigstraße 18 · 83022 Rosenheim</w:t>
      </w:r>
    </w:p>
    <w:p/>
    <w:p>
      <w:pPr>
        <w:jc w:val="left"/>
      </w:pPr>
      <w:r>
        <w:rPr>
          <w:b/>
        </w:rPr>
        <w:t>An die</w:t>
      </w:r>
    </w:p>
    <w:p>
      <w:pPr>
        <w:jc w:val="left"/>
      </w:pPr>
      <w:r>
        <w:rPr>
          <w:b/>
        </w:rPr>
        <w:t>Schlichtungs- und Vermittlungsstelle</w:t>
      </w:r>
    </w:p>
    <w:p>
      <w:pPr>
        <w:jc w:val="left"/>
      </w:pPr>
      <w:r>
        <w:rPr>
          <w:b/>
        </w:rPr>
        <w:t>der Bayerischen Ingenieurekammer-Bau</w:t>
      </w:r>
    </w:p>
    <w:p>
      <w:pPr>
        <w:jc w:val="left"/>
      </w:pPr>
      <w:r>
        <w:t>Nymphenburger Straße 5</w:t>
      </w:r>
    </w:p>
    <w:p>
      <w:pPr>
        <w:jc w:val="left"/>
      </w:pPr>
      <w:r>
        <w:t>80335 München</w:t>
      </w:r>
    </w:p>
    <w:p/>
    <w:p>
      <w:pPr>
        <w:jc w:val="left"/>
      </w:pPr>
      <w:r>
        <w:rPr>
          <w:b/>
        </w:rPr>
        <w:t>Rosenheim, 20. Mai 2026</w:t>
      </w:r>
    </w:p>
    <w:p>
      <w:pPr>
        <w:jc w:val="left"/>
      </w:pPr>
      <w:r>
        <w:rPr>
          <w:b/>
        </w:rPr>
        <w:t>Betr.:</w:t>
      </w:r>
      <w:r>
        <w:t xml:space="preserve"> Schlichtungsantrag gemäß § 17.2 GU-Vertrag vom 12.07.2023</w:t>
      </w:r>
    </w:p>
    <w:p>
      <w:pPr>
        <w:jc w:val="left"/>
      </w:pPr>
      <w:r>
        <w:rPr>
          <w:b/>
        </w:rPr>
        <w:t>Antragstellerin:</w:t>
      </w:r>
      <w:r>
        <w:t xml:space="preserve"> Saalbau Wendelstein gGmbH, Rosenheim</w:t>
      </w:r>
    </w:p>
    <w:p>
      <w:pPr>
        <w:jc w:val="left"/>
      </w:pPr>
      <w:r>
        <w:rPr>
          <w:b/>
        </w:rPr>
        <w:t>Antragsgegner:</w:t>
      </w:r>
      <w:r>
        <w:t xml:space="preserve"> Bauer-Hoch GmbH &amp; Co. KG, Traunstein</w:t>
      </w:r>
    </w:p>
    <w:p>
      <w:pPr>
        <w:jc w:val="left"/>
      </w:pPr>
      <w:r>
        <w:t>Sehr geehrte Damen und Herren,</w:t>
      </w:r>
    </w:p>
    <w:p>
      <w:pPr>
        <w:jc w:val="left"/>
      </w:pPr>
      <w:r>
        <w:t xml:space="preserve">im Auftrag unserer Mandantin, der Saalbau Wendelstein gGmbH, Rosenheim, stellen wir hiermit den </w:t>
      </w:r>
      <w:r>
        <w:rPr>
          <w:b/>
        </w:rPr>
        <w:t>Antrag auf Durchführung eines Schlichtungsverfahrens</w:t>
      </w:r>
      <w:r>
        <w:t xml:space="preserve"> gemäß § 17.2 des GU-Vertrags vom 12. Juli 2023.</w:t>
      </w:r>
    </w:p>
    <w:p>
      <w:pPr>
        <w:pStyle w:val="Heading3"/>
      </w:pPr>
      <w:r>
        <w:rPr>
          <w:rFonts w:ascii="Times New Roman" w:hAnsi="Times New Roman"/>
        </w:rPr>
        <w:t>Sachverhalt (Kurzfassung)</w:t>
      </w:r>
    </w:p>
    <w:p>
      <w:pPr>
        <w:jc w:val="left"/>
      </w:pPr>
      <w:r>
        <w:t>Die Saalbau Wendelstein gGmbH hat auf ihrem Grundstück Wittelsbacherstraße 102, Rosenheim, einen Neubau (Probesaal, Werkstätten, Lagerhalle) durch die Bauer-Hoch GmbH &amp; Co. KG als Generalunternehmer errichtet. Im Werkstattgebäude wurden erhebliche Mängel festgestellt: Rissbildung in der Bodenplatte (14 Risse, bis 1,4 mm Breite), Ausfall der Fußbodenheizung Heizkreis 3, undichte Schächte, fehlende Brandschutzabdichtung und elektrotechnische Mängel. Insgesamt 23 Mängelpositionen wurden am 14. April 2026 schriftlich gerügt.</w:t>
      </w:r>
    </w:p>
    <w:p>
      <w:pPr>
        <w:jc w:val="left"/>
      </w:pPr>
      <w:r>
        <w:t>Darüber hinaus wurde beim Aushub der Lagerhalle (28.01.2026) eine erhebliche Bodenkontamination entdeckt (Altlasten der ehemaligen Drahtspinnerei), die zu einem 11-wöchigen Baustopp geführt hat. Die Kostentragung dieser Sanierung ist streitig.</w:t>
      </w:r>
    </w:p>
    <w:p>
      <w:pPr>
        <w:jc w:val="left"/>
      </w:pPr>
      <w:r>
        <w:t>Die Bauer-Hoch GmbH &amp; Co. KG hat die wesentlichen Mängelrügen zurückgewiesen und Abnahme gefordert.</w:t>
      </w:r>
    </w:p>
    <w:p>
      <w:pPr>
        <w:pStyle w:val="Heading3"/>
      </w:pPr>
      <w:r>
        <w:rPr>
          <w:rFonts w:ascii="Times New Roman" w:hAnsi="Times New Roman"/>
        </w:rPr>
        <w:t>Streitgegenstand der Schlichtung</w:t>
      </w:r>
    </w:p>
    <w:p>
      <w:pPr>
        <w:pStyle w:val="ListNumber"/>
      </w:pPr>
      <w:r>
        <w:t>Mängel des Werkstattgebäudes: Anspruch auf Nacherfüllung und/oder Schadensersatz i.H.v. ca. 180.200 EUR (Kostenschätzung SV Riedhof)</w:t>
      </w:r>
    </w:p>
    <w:p>
      <w:pPr>
        <w:pStyle w:val="ListNumber"/>
      </w:pPr>
      <w:r>
        <w:t>Abnahmeverweigerung: Sind die festgestellten Mängel wesentliche Mängel i.S.d. § 12 Abs. 3 VOB/B?</w:t>
      </w:r>
    </w:p>
    <w:p>
      <w:pPr>
        <w:pStyle w:val="ListNumber"/>
      </w:pPr>
      <w:r>
        <w:t>Bauablaufstörung: Entschädigungsforderung Bauer-Hoch ca. 320.000 EUR wegen Baustillstand (11 Wochen)</w:t>
      </w:r>
    </w:p>
    <w:p>
      <w:pPr>
        <w:pStyle w:val="ListNumber"/>
      </w:pPr>
      <w:r>
        <w:t>Kostentragung Bodenkontamination: Anteilige Kostenbeteiligung Bauer-Hoch an Sanierungskosten soweit von GU verursacht</w:t>
      </w:r>
    </w:p>
    <w:p>
      <w:pPr>
        <w:pStyle w:val="Heading3"/>
      </w:pPr>
      <w:r>
        <w:rPr>
          <w:rFonts w:ascii="Times New Roman" w:hAnsi="Times New Roman"/>
        </w:rPr>
        <w:t>Ziel der Schlichtung</w:t>
      </w:r>
    </w:p>
    <w:p>
      <w:pPr>
        <w:jc w:val="left"/>
      </w:pPr>
      <w:r>
        <w:t>Die Antragstellerin ist an einer einvernehmlichen Lösung interessiert, insbesondere:</w:t>
      </w:r>
    </w:p>
    <w:p>
      <w:pPr>
        <w:pStyle w:val="ListBullet"/>
      </w:pPr>
      <w:r>
        <w:t>Mängelbeseitigungsplan mit verbindlichem Zeitplan und finanzieller Absicherung (Bürgschaft)</w:t>
      </w:r>
    </w:p>
    <w:p>
      <w:pPr>
        <w:pStyle w:val="ListBullet"/>
      </w:pPr>
      <w:r>
        <w:t>Einvernehmliche Regelung der Bauablaufentschädigung</w:t>
      </w:r>
    </w:p>
    <w:p>
      <w:pPr>
        <w:pStyle w:val="ListBullet"/>
      </w:pPr>
      <w:r>
        <w:t>Klärung der Kostentragung für Bodensanierung</w:t>
      </w:r>
    </w:p>
    <w:p>
      <w:pPr>
        <w:pStyle w:val="Heading3"/>
      </w:pPr>
      <w:r>
        <w:rPr>
          <w:rFonts w:ascii="Times New Roman" w:hAnsi="Times New Roman"/>
        </w:rPr>
        <w:t>Anlagen</w:t>
      </w:r>
    </w:p>
    <w:p>
      <w:pPr>
        <w:jc w:val="left"/>
      </w:pPr>
      <w:r>
        <w:t>Wir übersenden als Anlagen:</w:t>
      </w:r>
    </w:p>
    <w:p>
      <w:pPr>
        <w:pStyle w:val="ListBullet"/>
      </w:pPr>
      <w:r>
        <w:t>Anlage S1: GU-Vertrag 12.07.2023 (§ 17.2 Schlichtungsklausel)</w:t>
      </w:r>
    </w:p>
    <w:p>
      <w:pPr>
        <w:pStyle w:val="ListBullet"/>
      </w:pPr>
      <w:r>
        <w:t>Anlage S2: Mängelliste 14.04.2026</w:t>
      </w:r>
    </w:p>
    <w:p>
      <w:pPr>
        <w:pStyle w:val="ListBullet"/>
      </w:pPr>
      <w:r>
        <w:t>Anlage S3: Gutachten SV Riedhof 02.04.2026 (Kurzfassung)</w:t>
      </w:r>
    </w:p>
    <w:p>
      <w:pPr>
        <w:pStyle w:val="ListBullet"/>
      </w:pPr>
      <w:r>
        <w:t>Anlage S4: Mängelrüge 22.04.2026</w:t>
      </w:r>
    </w:p>
    <w:p>
      <w:pPr>
        <w:pStyle w:val="ListBullet"/>
      </w:pPr>
      <w:r>
        <w:t>Anlage S5: Schreiben RA Strohmayer 29.04.2026</w:t>
      </w:r>
    </w:p>
    <w:p>
      <w:pPr>
        <w:jc w:val="left"/>
      </w:pPr>
      <w:r>
        <w:t>Dr. Henriette Niedermair</w:t>
      </w:r>
    </w:p>
    <w:p/>
    <w:p>
      <w:pPr>
        <w:pStyle w:val="Heading2"/>
      </w:pPr>
      <w:r>
        <w:rPr>
          <w:rFonts w:ascii="Times New Roman" w:hAnsi="Times New Roman"/>
        </w:rPr>
        <w:t>B. Eingangsbestätigung der Schlichtungsstelle</w:t>
      </w:r>
    </w:p>
    <w:p>
      <w:pPr>
        <w:jc w:val="left"/>
      </w:pPr>
      <w:r>
        <w:t xml:space="preserve">Die Schlichtungsstelle der Bayerischen Ingenieurekammer-Bau hat den Antrag unter dem </w:t>
      </w:r>
      <w:r>
        <w:rPr>
          <w:b/>
        </w:rPr>
        <w:t>26. Mai 2026</w:t>
      </w:r>
      <w:r>
        <w:t xml:space="preserve"> bestätigt und folgende Termine anberaumt:</w:t>
      </w:r>
    </w:p>
    <w:p>
      <w:pPr>
        <w:pStyle w:val="ListBullet"/>
      </w:pPr>
      <w:r>
        <w:rPr>
          <w:b/>
        </w:rPr>
        <w:t>Schlichtungstermin 1:</w:t>
      </w:r>
      <w:r>
        <w:t xml:space="preserve"> 08. Juli 2026, 10:00 Uhr (Kammer München)</w:t>
      </w:r>
    </w:p>
    <w:p>
      <w:pPr>
        <w:pStyle w:val="ListBullet"/>
      </w:pPr>
      <w:r>
        <w:rPr>
          <w:b/>
        </w:rPr>
        <w:t>Schlichtungstermin 2 (falls erforderlich):</w:t>
      </w:r>
      <w:r>
        <w:t xml:space="preserve"> 02. September 2026</w:t>
      </w:r>
    </w:p>
    <w:p>
      <w:pPr>
        <w:jc w:val="left"/>
      </w:pPr>
      <w:r>
        <w:t>Schlichterin: Dipl.-Ing. Elisabeth Krebs, Mitglied des Schiedsausschusses der Bayerischen Ingenieurekammer-Bau</w:t>
      </w:r>
    </w:p>
    <w:p/>
    <w:p>
      <w:pPr>
        <w:pStyle w:val="Heading2"/>
      </w:pPr>
      <w:r>
        <w:rPr>
          <w:rFonts w:ascii="Times New Roman" w:hAnsi="Times New Roman"/>
        </w:rPr>
        <w:t>C. Vorbereitung auf den Schlichtungstermin</w:t>
      </w:r>
    </w:p>
    <w:p>
      <w:pPr>
        <w:pStyle w:val="Heading3"/>
      </w:pPr>
      <w:r>
        <w:rPr>
          <w:rFonts w:ascii="Times New Roman" w:hAnsi="Times New Roman"/>
        </w:rPr>
        <w:t>Kernargumente für die Schlichtung</w:t>
      </w:r>
    </w:p>
    <w:p>
      <w:pPr>
        <w:jc w:val="left"/>
      </w:pPr>
      <w:r>
        <w:rPr>
          <w:b/>
        </w:rPr>
        <w:t>Position Saalbau Wendelstein gGmbH:</w:t>
      </w:r>
    </w:p>
    <w:p>
      <w:pPr>
        <w:pStyle w:val="ListNumber"/>
      </w:pPr>
      <w:r>
        <w:t>Mängel sind durch Privatgutachten Riedhof umfassend belegt; Schiedsgutachten läuft parallel und wird Mängel bestätigen</w:t>
      </w:r>
    </w:p>
    <w:p>
      <w:pPr>
        <w:pStyle w:val="ListNumber"/>
      </w:pPr>
      <w:r>
        <w:t>Abnahmeverweigerung ist rechtmäßig (§ 12 Abs. 3 VOB/B) wegen kritischer Sicherheitsmängel (Elektro, Brandschutz, Notbeleuchtung)</w:t>
      </w:r>
    </w:p>
    <w:p>
      <w:pPr>
        <w:pStyle w:val="ListNumber"/>
      </w:pPr>
      <w:r>
        <w:t>Bauablaufentschädigung: Höhe 320.000 EUR überhöht; Auslastungsnachweis fehlt; Gegenansprüche überwiegen</w:t>
      </w:r>
    </w:p>
    <w:p>
      <w:pPr>
        <w:pStyle w:val="ListNumber"/>
      </w:pPr>
      <w:r>
        <w:t>Bodensanierungskosten: Bauer-Hoch haftet anteilig für Ausbreitung der Kontamination durch seine Erdarbeiten</w:t>
      </w:r>
    </w:p>
    <w:p>
      <w:pPr>
        <w:jc w:val="left"/>
      </w:pPr>
      <w:r>
        <w:rPr>
          <w:b/>
        </w:rPr>
        <w:t>Angebot der Mandantin in der Schlichtung:</w:t>
      </w:r>
    </w:p>
    <w:p>
      <w:pPr>
        <w:pStyle w:val="ListBullet"/>
      </w:pPr>
      <w:r>
        <w:t>Mängelpositionen M-06, M-08, M-13, M-16 werden nach Beseitigung nicht weiter geltend gemacht</w:t>
      </w:r>
    </w:p>
    <w:p>
      <w:pPr>
        <w:pStyle w:val="ListBullet"/>
      </w:pPr>
      <w:r>
        <w:t>Zahlung von Restwerklohn Baukörper 1 (Probesaal) nach Teilabnahme: ca. 149.500 EUR</w:t>
      </w:r>
    </w:p>
    <w:p>
      <w:pPr>
        <w:pStyle w:val="ListBullet"/>
      </w:pPr>
      <w:r>
        <w:t>Vergleichspaket Mängel + Bauablauf: Bauer-Hoch beseitigt alle Mängel + zahlt 40.000 EUR pauschal; Mandantin verzichtet auf Bauablaufentschädigung</w:t>
      </w:r>
    </w:p>
    <w:p>
      <w:pPr>
        <w:jc w:val="left"/>
      </w:pPr>
      <w:r>
        <w:rPr>
          <w:b/>
        </w:rPr>
        <w:t>BATNA (Best Alternative to Negotiated Agreement):</w:t>
      </w:r>
    </w:p>
    <w:p>
      <w:pPr>
        <w:jc w:val="left"/>
      </w:pPr>
      <w:r>
        <w:t>Hauptsacheklage LG Traunstein — Chancen 75–80 % (Mängel), Kosten ca. 85.000 EUR bis Urteil 1. Instanz; bei Gesamtanspruch von 180.200 EUR vertretbar.</w:t>
      </w:r>
    </w:p>
    <w:p>
      <w:pPr>
        <w:pStyle w:val="Heading3"/>
      </w:pPr>
      <w:r>
        <w:rPr>
          <w:rFonts w:ascii="Times New Roman" w:hAnsi="Times New Roman"/>
        </w:rPr>
        <w:t>Vorzulegende Unterlagen beim Schlichtungstermin</w:t>
      </w:r>
    </w:p>
    <w:p>
      <w:pPr>
        <w:pStyle w:val="ListBullet"/>
      </w:pPr>
      <w:r>
        <w:t>Mängelliste vollständige Fassung mit Fotodokumentation (40 Fotos aus Begehungen Riedhof)</w:t>
      </w:r>
    </w:p>
    <w:p>
      <w:pPr>
        <w:pStyle w:val="ListBullet"/>
      </w:pPr>
      <w:r>
        <w:t>Grundrissplan Werkstattgebäude mit eingetragenem Rissmuster</w:t>
      </w:r>
    </w:p>
    <w:p>
      <w:pPr>
        <w:pStyle w:val="ListBullet"/>
      </w:pPr>
      <w:r>
        <w:t>Rammkernsondierungs-Ergebnisse (RKS 1–4)</w:t>
      </w:r>
    </w:p>
    <w:p>
      <w:pPr>
        <w:pStyle w:val="ListBullet"/>
      </w:pPr>
      <w:r>
        <w:t>Bewehrungsplan Pos. 3.1 (IBr Eschelmann) vs. Bohrkernbefund</w:t>
      </w:r>
    </w:p>
    <w:p>
      <w:pPr>
        <w:pStyle w:val="ListBullet"/>
      </w:pPr>
      <w:r>
        <w:t>Kostenvoranschläge von 3 Drittfirmen für Mängelbeseitigung (einzuholen bis 25.06.2026)</w:t>
      </w:r>
    </w:p>
    <w:p>
      <w:pPr>
        <w:jc w:val="left"/>
      </w:pPr>
      <w:r>
        <w:rPr>
          <w:i/>
        </w:rPr>
        <w:t>Bearbeiterin: RAin Dr. Henriette Niedermair, Stand 27.05.2026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