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– Rechtliches Memorandum: Klagebefugnis der Beteiligten</w:t>
      </w:r>
    </w:p>
    <w:p>
      <w:pPr>
        <w:jc w:val="left"/>
      </w:pPr>
      <w:r>
        <w:rPr>
          <w:b/>
        </w:rPr>
        <w:t>Erstellt von:</w:t>
      </w:r>
      <w:r>
        <w:t xml:space="preserve"> RA Dr. Korbinian Maaßmann</w:t>
      </w:r>
    </w:p>
    <w:p>
      <w:pPr>
        <w:jc w:val="left"/>
      </w:pPr>
      <w:r>
        <w:rPr>
          <w:b/>
        </w:rPr>
        <w:t>Datum:</w:t>
      </w:r>
      <w:r>
        <w:t xml:space="preserve"> 22.03.2026</w:t>
      </w:r>
    </w:p>
    <w:p>
      <w:pPr>
        <w:jc w:val="left"/>
      </w:pPr>
      <w:r>
        <w:rPr>
          <w:b/>
        </w:rPr>
        <w:t>Verfahren:</w:t>
      </w:r>
      <w:r>
        <w:t xml:space="preserve"> 4 K 218/26 (VG Potsdam), 4 L 89/26 (VG Potsdam), OVG 2 A 18.26</w:t>
      </w:r>
    </w:p>
    <w:p/>
    <w:p>
      <w:pPr>
        <w:pStyle w:val="Heading2"/>
      </w:pPr>
      <w:r>
        <w:rPr>
          <w:rFonts w:ascii="Times New Roman" w:hAnsi="Times New Roman"/>
        </w:rPr>
        <w:t>I. Fragestellung</w:t>
      </w:r>
    </w:p>
    <w:p>
      <w:pPr>
        <w:jc w:val="left"/>
      </w:pPr>
      <w:r>
        <w:t>Zu klären ist, ob (1) die Bürgerinitiative „Lebenswerte Uckermark e.V." als Verein, (2) Frau Dr. Hiltrud Maashardt als Nachbarin und (3) Herr Tobias Brüggemann als landwirtschaftlicher Betriebsleiter die nach § 42 Abs. 2 VwGO erforderliche Klagebefugnis besitzen. Die Klagebefugnis setzt voraus, dass die Kläger geltend machen können, durch den angefochtenen Verwaltungsakt in eigenen Rechten verletzt zu sein (Möglichkeitstheorie).</w:t>
      </w:r>
    </w:p>
    <w:p/>
    <w:p>
      <w:pPr>
        <w:pStyle w:val="Heading2"/>
      </w:pPr>
      <w:r>
        <w:rPr>
          <w:rFonts w:ascii="Times New Roman" w:hAnsi="Times New Roman"/>
        </w:rPr>
        <w:t>II. Klagebefugnis der Bürgerinitiative als Verein (§ 2 UmwRG)</w:t>
      </w:r>
    </w:p>
    <w:p>
      <w:pPr>
        <w:pStyle w:val="Heading3"/>
      </w:pPr>
      <w:r>
        <w:rPr>
          <w:rFonts w:ascii="Times New Roman" w:hAnsi="Times New Roman"/>
        </w:rPr>
        <w:t>1. Verbandsklagebefugnis nach UmwRG</w:t>
      </w:r>
    </w:p>
    <w:p>
      <w:pPr>
        <w:jc w:val="left"/>
      </w:pPr>
      <w:r>
        <w:t>Die Bürgerinitiative „Lebenswerte Uckermark e.V." ist gem. § 3 UmwRG als Umweltvereinigung anerkannt (Anerkennungsbescheid des MLUK Brandenburg, Az.: 32-8100/0/1-2019). Damit ist sie nach § 2 Abs. 1 UmwRG klagebefugt, soweit:</w:t>
      </w:r>
    </w:p>
    <w:p>
      <w:pPr>
        <w:pStyle w:val="ListBullet"/>
      </w:pPr>
      <w:r>
        <w:t>die Klage eine Entscheidung nach § 1 Abs. 1 UmwRG betrifft (hier: immissionsschutzrechtliche Genehmigung eines UVP-pflichtigen Vorhabens, UVP-Pflicht ergibt sich aus § 2 Nr. 1 UVPG i.V.m. Anlage 1 Nr. 1.6.1 UVPG – WEA ab 20 Stück oder Gesamthöhe ab 50 m, hier 5 Anlagen à 246 m, UVP-Pflicht nach Vorprüfung bejaht),</w:t>
      </w:r>
    </w:p>
    <w:p>
      <w:pPr>
        <w:pStyle w:val="ListBullet"/>
      </w:pPr>
      <w:r>
        <w:t>Belange berührt sind, für deren Förderung sie satzungsgemäß eingesetzt ist (§ 2 Abs. 1 Nr. 2 UmwRG),</w:t>
      </w:r>
    </w:p>
    <w:p>
      <w:pPr>
        <w:pStyle w:val="ListBullet"/>
      </w:pPr>
      <w:r>
        <w:t>die Vereinigung im Verfahren mitgewirkt hat (§ 2 Abs. 1 Nr. 3 UmwRG) – hier: Einwendungsschreiben vom 12.11.2024 in den Akten dokumentiert.</w:t>
      </w:r>
    </w:p>
    <w:p>
      <w:pPr>
        <w:jc w:val="left"/>
      </w:pPr>
      <w:r>
        <w:rPr>
          <w:b/>
        </w:rPr>
        <w:t>Ergebnis:</w:t>
      </w:r>
      <w:r>
        <w:t xml:space="preserve"> Verbandsklagebefugnis der BI ist gegeben.</w:t>
      </w:r>
    </w:p>
    <w:p>
      <w:pPr>
        <w:pStyle w:val="Heading3"/>
      </w:pPr>
      <w:r>
        <w:rPr>
          <w:rFonts w:ascii="Times New Roman" w:hAnsi="Times New Roman"/>
        </w:rPr>
        <w:t>2. Drittanfechtungsklage als Verein</w:t>
      </w:r>
    </w:p>
    <w:p>
      <w:pPr>
        <w:jc w:val="left"/>
      </w:pPr>
      <w:r>
        <w:t xml:space="preserve">Ergänzend ist zu prüfen, ob der Verein als solcher (nicht nur im Wege der Verbandsklage) Dritte im Sinne des Nachbarschutzes sein kann. Dies setzt die Verletzung subjektiv-öffentlicher Rechte voraus. Vereinsrechte als Grundstückseigentümer oder Nutzer liegen nicht vor. Die BI verfügt über kein Grundstück im Einwirkungsbereich. Die Anfechtungsklage des Vereins stützt sich daher </w:t>
      </w:r>
      <w:r>
        <w:rPr>
          <w:b/>
        </w:rPr>
        <w:t>ausschließlich auf § 2 UmwRG</w:t>
      </w:r>
      <w:r>
        <w:t xml:space="preserve"> (Verbandsklage).</w:t>
      </w:r>
    </w:p>
    <w:p/>
    <w:p>
      <w:pPr>
        <w:pStyle w:val="Heading2"/>
      </w:pPr>
      <w:r>
        <w:rPr>
          <w:rFonts w:ascii="Times New Roman" w:hAnsi="Times New Roman"/>
        </w:rPr>
        <w:t>III. Klagebefugnis Dr. Maashardt (Drittanfechtung, § 42 Abs. 2 VwGO)</w:t>
      </w:r>
    </w:p>
    <w:p>
      <w:pPr>
        <w:pStyle w:val="Heading3"/>
      </w:pPr>
      <w:r>
        <w:rPr>
          <w:rFonts w:ascii="Times New Roman" w:hAnsi="Times New Roman"/>
        </w:rPr>
        <w:t>1. Schutznormtheorie und § 5 Abs. 1 Nr. 1 BImSchG</w:t>
      </w:r>
    </w:p>
    <w:p>
      <w:pPr>
        <w:jc w:val="left"/>
      </w:pPr>
      <w:r>
        <w:t xml:space="preserve">Nach ständiger Rechtsprechung des BVerwG (BVerwGE 144, 1 – „Windpark-Urteil"; BVerwG, Urt. v. 29.08.2007, 4 C 2.07) kommt dem Nachbarn eines immissionsschutzrechtlich genehmigten Vorhabens Klagebefugnis zu, wenn er die Verletzung des </w:t>
      </w:r>
      <w:r>
        <w:rPr>
          <w:b/>
        </w:rPr>
        <w:t>drittschützenden</w:t>
      </w:r>
      <w:r>
        <w:t xml:space="preserve"> § 5 Abs. 1 Nr. 1 BImSchG geltend machen kann. Diese Norm schützt die Nachbarschaft vor schädlichen Umwelteinwirkungen.</w:t>
      </w:r>
    </w:p>
    <w:p>
      <w:pPr>
        <w:jc w:val="left"/>
      </w:pPr>
      <w:r>
        <w:rPr>
          <w:b/>
        </w:rPr>
        <w:t>Wohnsitzabstand Dr. Maashardt – WEA 03:</w:t>
      </w:r>
      <w:r>
        <w:t xml:space="preserve"> 412 m</w:t>
      </w:r>
    </w:p>
    <w:p>
      <w:pPr>
        <w:jc w:val="left"/>
      </w:pPr>
      <w:r>
        <w:t>Zum Vergleich: Die LAI-Hinweise zur Durchführung der TA Lärm bei WEA (Stand 2022) empfehlen als Orientierungswert für nächtliche Immissionsrichtwerte in Allgemeinen Wohngebieten (WA) 40 dB(A). Bei einer 246 m hohen Anlage und einem Abstand von 412 m ist die Überschreitung des Immissionsrichtwertes nach vorläufiger Prüfung nicht von vornherein ausgeschlossen (vgl. Schallgutachten, S. 47, Immissionsort IO-05: 41,3 dB(A) nachts – Grenzwertüberschreitung behauptet).</w:t>
      </w:r>
    </w:p>
    <w:p>
      <w:pPr>
        <w:jc w:val="left"/>
      </w:pPr>
      <w:r>
        <w:rPr>
          <w:b/>
        </w:rPr>
        <w:t>Rechtliche Einordnung des Grundstücks:</w:t>
      </w:r>
      <w:r>
        <w:t xml:space="preserve"> Lage außerhalb des Bebauungsplangebiets; planungsrechtliche Einordnung als Außenbereich (§ 35 BauGB) mit faktischer Wohnnutzung. Maßgeblicher Immissionsrichtwert für Außenbereich-Wohnnutzungen: 45 dB(A) nachts nach Nr. 6.1 TA Lärm. Jedoch: Bei Immissionsorten im Außenbereich mit Wohnnutzung kann nach VGH München (Beschl. v. 22.10.2019, 22 CS 19.1686) und OVG NRW (Beschl. v. 18.11.2020, 8 B 977/20) der WA-Wert entsprechend herangezogen werden, wenn die Wohnnutzung faktisch auf Dauer angelegt ist.</w:t>
      </w:r>
    </w:p>
    <w:p>
      <w:pPr>
        <w:jc w:val="left"/>
      </w:pPr>
      <w:r>
        <w:rPr>
          <w:b/>
        </w:rPr>
        <w:t>Ergebnis:</w:t>
      </w:r>
      <w:r>
        <w:t xml:space="preserve"> Klagebefugnis Dr. Maashardt gegeben (§ 42 Abs. 2 VwGO i.V.m. § 5 Abs. 1 Nr. 1 BImSchG, Schutznormtheorie).</w:t>
      </w:r>
    </w:p>
    <w:p>
      <w:pPr>
        <w:pStyle w:val="Heading3"/>
      </w:pPr>
      <w:r>
        <w:rPr>
          <w:rFonts w:ascii="Times New Roman" w:hAnsi="Times New Roman"/>
        </w:rPr>
        <w:t>2. Schattenwurf</w:t>
      </w:r>
    </w:p>
    <w:p>
      <w:pPr>
        <w:jc w:val="left"/>
      </w:pPr>
      <w:r>
        <w:t>Zusätzlich macht Dr. Maashardt geltend, dass der periodische Schattenwurf von WEA 03 auf ihr Grundstück das Maß von 30 Stunden tatsächlich betroffener Beschattungsdauer pro Jahr (LAI-Hinweise 2022, Anhang A.2) übersteigt. Die vorgelegte Schattenwurfprognose weist für Immissionsort IO-05 (entspricht Standort Dr. Maashardt) 31,7 Jahresstunden aus. Auch hieraus folgt Klagebefugnis.</w:t>
      </w:r>
    </w:p>
    <w:p/>
    <w:p>
      <w:pPr>
        <w:pStyle w:val="Heading2"/>
      </w:pPr>
      <w:r>
        <w:rPr>
          <w:rFonts w:ascii="Times New Roman" w:hAnsi="Times New Roman"/>
        </w:rPr>
        <w:t>IV. Klagebefugnis Brüggemann (Drittanfechtung Landwirtschaft)</w:t>
      </w:r>
    </w:p>
    <w:p>
      <w:pPr>
        <w:pStyle w:val="Heading3"/>
      </w:pPr>
      <w:r>
        <w:rPr>
          <w:rFonts w:ascii="Times New Roman" w:hAnsi="Times New Roman"/>
        </w:rPr>
        <w:t>1. Betriebseigentümer als Nachbar</w:t>
      </w:r>
    </w:p>
    <w:p>
      <w:pPr>
        <w:jc w:val="left"/>
      </w:pPr>
      <w:r>
        <w:t>Tobias Brüggemann ist Inhaber der Bio-Bauernhof Brüggemann GbR. Sein Wohnhaus liegt 730 m von WEA 03 entfernt. Nach den Schallgutachten-Berechnungen wird am Immissionsort IO-09 (Wohngebäude Buchenhain 3) ein nächtlicher Wert von 40,1 dB(A) prognostiziert. Dies liegt knapp über dem WA-Nachtwert von 40 dB(A), sodass eine mögliche Grenzwertüberschreitung nicht von vornherein ausgeschlossen ist.</w:t>
      </w:r>
    </w:p>
    <w:p>
      <w:pPr>
        <w:pStyle w:val="Heading3"/>
      </w:pPr>
      <w:r>
        <w:rPr>
          <w:rFonts w:ascii="Times New Roman" w:hAnsi="Times New Roman"/>
        </w:rPr>
        <w:t>2. Landwirtschaftliche Beeinträchtigung</w:t>
      </w:r>
    </w:p>
    <w:p>
      <w:pPr>
        <w:jc w:val="left"/>
      </w:pPr>
      <w:r>
        <w:t>Brüggemann rügt darüber hinaus Beeinträchtigungen seines landwirtschaftlichen Betriebs durch:</w:t>
      </w:r>
    </w:p>
    <w:p>
      <w:pPr>
        <w:pStyle w:val="ListBullet"/>
      </w:pPr>
      <w:r>
        <w:t>Schattenwurf auf Weideflächen (Verunsicherung der Tierherden),</w:t>
      </w:r>
    </w:p>
    <w:p>
      <w:pPr>
        <w:pStyle w:val="ListBullet"/>
      </w:pPr>
      <w:r>
        <w:t>optische Bedrängung (Umzingelungseffekt bei bestehenden Altanlagen),</w:t>
      </w:r>
    </w:p>
    <w:p>
      <w:pPr>
        <w:pStyle w:val="ListBullet"/>
      </w:pPr>
      <w:r>
        <w:t>Entwertung seines Vermarktungskonzepts „Lebenswerte Uckermark – Naturstrom-freie Tierhaltung".</w:t>
      </w:r>
    </w:p>
    <w:p>
      <w:pPr>
        <w:jc w:val="left"/>
      </w:pPr>
      <w:r>
        <w:t>Diese Aspekte sind jedoch nach der Rechtsprechung des BVerwG (Urt. v. 11.12.2003, 4 C 10.02) nicht per se drittschützend; sie können nur mittelbar über § 5 Abs. 1 Nr. 1 BImSchG (Schutz vor schädlichen Umwelteinwirkungen, einschließlich schädigender Lichteinwirkungen) relevant werden.</w:t>
      </w:r>
    </w:p>
    <w:p>
      <w:pPr>
        <w:jc w:val="left"/>
      </w:pPr>
      <w:r>
        <w:rPr>
          <w:b/>
        </w:rPr>
        <w:t>Ergebnis:</w:t>
      </w:r>
      <w:r>
        <w:t xml:space="preserve"> Klagebefugnis Brüggemann gegeben (§ 42 Abs. 2 VwGO i.V.m. § 5 Abs. 1 Nr. 1 BImSchG), primär gestützt auf Schallimmissionen; Schattenwurf als ergänzende Begründung.</w:t>
      </w:r>
    </w:p>
    <w:p/>
    <w:p>
      <w:pPr>
        <w:pStyle w:val="Heading2"/>
      </w:pPr>
      <w:r>
        <w:rPr>
          <w:rFonts w:ascii="Times New Roman" w:hAnsi="Times New Roman"/>
        </w:rPr>
        <w:t>V. Normenkontrolle OVG Berlin-Brandenburg (§ 47 VwGO)</w:t>
      </w:r>
    </w:p>
    <w:p>
      <w:pPr>
        <w:pStyle w:val="Heading3"/>
      </w:pPr>
      <w:r>
        <w:rPr>
          <w:rFonts w:ascii="Times New Roman" w:hAnsi="Times New Roman"/>
        </w:rPr>
        <w:t>1. Antragsbefugnis</w:t>
      </w:r>
    </w:p>
    <w:p>
      <w:pPr>
        <w:jc w:val="left"/>
      </w:pPr>
      <w:r>
        <w:t>Für den Normenkontrollantrag gegen den Regionalplan Uckermark-Barnim (Sachlicher Teilplan Windenergie) sind Dr. Maashardt und Brüggemann als Grundstückseigentümer antragsbefugt gem. § 47 Abs. 2 S. 1 VwGO (natürliche Personen, die durch die Rechtsvorschrift oder deren Anwendung in ihren Rechten verletzt sein können oder in absehbarer Zeit verletzt werden). Der Regionalplan bestimmt als Ziel der Raumordnung (§ 8 Abs. 7 ROG) eine Vorrangzone, die für andere raumbedeutsame Nutzungen ausschließt. Diese Wirkung berührt die Eigentumsrechte der Antragsteller unmittelbar.</w:t>
      </w:r>
    </w:p>
    <w:p>
      <w:pPr>
        <w:pStyle w:val="Heading3"/>
      </w:pPr>
      <w:r>
        <w:rPr>
          <w:rFonts w:ascii="Times New Roman" w:hAnsi="Times New Roman"/>
        </w:rPr>
        <w:t>2. Antragsfrist</w:t>
      </w:r>
    </w:p>
    <w:p>
      <w:pPr>
        <w:jc w:val="left"/>
      </w:pPr>
      <w:r>
        <w:t xml:space="preserve">Normenkontrollanträge sind nach § 47 Abs. 2 S. 1 VwGO innerhalb eines Jahres nach Bekanntmachung der Rechtsvorschrift zu stellen. Der Regionalplan wurde am 15.06.2023 im Amtsblatt für Brandenburg bekannt gemacht. Die Jahresfrist ist damit abgelaufen. </w:t>
      </w:r>
      <w:r>
        <w:rPr>
          <w:b/>
        </w:rPr>
        <w:t>Prüfung erforderlich:</w:t>
      </w:r>
      <w:r>
        <w:t xml:space="preserve"> Ob eine nachträgliche Antragsbefugnis aufgrund der jetzt erstmals konkreten Betroffenheit durch die Genehmigung angenommen werden kann (sog. „konkrete Betroffenheit" als Fristansatzpunkt bei substantiierter Unkenntnis – vgl. OVG Berlin-Brandenburg, Beschl. v. 15.03.2021, OVG 2 S 20.20: Fristbeginn erst mit zumutbarer Erkennbarkeit der konkreten Betroffenheit). </w:t>
      </w:r>
      <w:r>
        <w:rPr>
          <w:b/>
        </w:rPr>
        <w:t>Handlungsbedarf: Antrag unverzüglich stellen.</w:t>
      </w:r>
    </w:p>
    <w:p/>
    <w:p>
      <w:pPr>
        <w:pStyle w:val="Heading2"/>
      </w:pPr>
      <w:r>
        <w:rPr>
          <w:rFonts w:ascii="Times New Roman" w:hAnsi="Times New Roman"/>
        </w:rPr>
        <w:t>VI. Zusammenfassung der Klagebefugnis-Matrix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Kläger/Antragsteller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Klagebefugnisnorm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Einschätzung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 Lebenswerte Uckermark e.V.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VG Potsdam 4 K 218/26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2 Abs. 1 UmwRG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</w:t>
            </w:r>
            <w:r>
              <w:rPr>
                <w:rFonts w:ascii="Times New Roman" w:hAnsi="Times New Roman"/>
                <w:sz w:val="20"/>
              </w:rPr>
              <w:t xml:space="preserve"> (sicher)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Hiltrud Maashardt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VG Potsdam 4 K 218/26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42 Abs. 2 VwGO, § 5 Abs. 1 Nr. 1 BImSchG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</w:t>
            </w:r>
            <w:r>
              <w:rPr>
                <w:rFonts w:ascii="Times New Roman" w:hAnsi="Times New Roman"/>
                <w:sz w:val="20"/>
              </w:rPr>
              <w:t xml:space="preserve"> (sicher)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Tobias Brüggemann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VG Potsdam 4 K 218/26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42 Abs. 2 VwGO, § 5 Abs. 1 Nr. 1 BImSchG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</w:t>
            </w:r>
            <w:r>
              <w:rPr>
                <w:rFonts w:ascii="Times New Roman" w:hAnsi="Times New Roman"/>
                <w:sz w:val="20"/>
              </w:rPr>
              <w:t xml:space="preserve"> (sicher)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Maashardt / Brüggemann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OVG 2 A 18.26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47 Abs. 2 S. 1 VwGO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?</w:t>
            </w:r>
            <w:r>
              <w:rPr>
                <w:rFonts w:ascii="Times New Roman" w:hAnsi="Times New Roman"/>
                <w:sz w:val="20"/>
              </w:rPr>
              <w:t xml:space="preserve"> (Fristproblem!)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 Lebenswerte Uckermark e.V.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OVG 2 A 18.26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47 Abs. 2 S. 1 VwGO, § 2 UmwRG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</w:t>
            </w:r>
            <w:r>
              <w:rPr>
                <w:rFonts w:ascii="Times New Roman" w:hAnsi="Times New Roman"/>
                <w:sz w:val="20"/>
              </w:rPr>
              <w:t xml:space="preserve"> (prüfen)</w:t>
            </w:r>
          </w:p>
        </w:tc>
      </w:tr>
    </w:tbl>
    <w:p/>
    <w:p>
      <w:pPr>
        <w:jc w:val="left"/>
      </w:pPr>
      <w:r>
        <w:rPr>
          <w:i/>
        </w:rPr>
        <w:t>Erstellt: 22.03.2026 | Bearbeiter: RA Dr. K. Maaßmann | Akte: WUE-2026/047</w:t>
      </w:r>
    </w:p>
    <w:p>
      <w:pPr>
        <w:jc w:val="left"/>
      </w:pPr>
      <w:r>
        <w:rPr>
          <w:b/>
        </w:rPr>
        <w:t>Quellen:</w:t>
      </w:r>
      <w:r>
        <w:t xml:space="preserve"> § 42 Abs. 2 VwGO; § 5 Abs. 1 Nr. 1 BImSchG; § 2 UmwRG; BVerwGE 144, 1; BVerwG, Urt. v. 29.08.2007, 4 C 2.07 (abrufbar auf dejure.org); § 47 Abs. 2 VwGO; OVG Berlin-Brandenburg, Beschl. v. 15.03.2021, OVG 2 S 20.20 (abrufbar auf openjur.de)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