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05 – Rechtliche Rüge: Artenschutzrechtliche Prüfung Rotmilan</w:t>
      </w:r>
    </w:p>
    <w:p>
      <w:pPr>
        <w:jc w:val="left"/>
      </w:pPr>
      <w:r>
        <w:rPr>
          <w:b/>
        </w:rPr>
        <w:t>Erstellt von:</w:t>
      </w:r>
      <w:r>
        <w:t xml:space="preserve"> RA Dr. Korbinian Maaßmann</w:t>
      </w:r>
    </w:p>
    <w:p>
      <w:pPr>
        <w:jc w:val="left"/>
      </w:pPr>
      <w:r>
        <w:rPr>
          <w:b/>
        </w:rPr>
        <w:t>Datum:</w:t>
      </w:r>
      <w:r>
        <w:t xml:space="preserve"> 26.03.2026</w:t>
      </w:r>
    </w:p>
    <w:p>
      <w:pPr>
        <w:jc w:val="left"/>
      </w:pPr>
      <w:r>
        <w:rPr>
          <w:b/>
        </w:rPr>
        <w:t>Verfahren:</w:t>
      </w:r>
      <w:r>
        <w:t xml:space="preserve"> 4 K 218/26 (VG Potsdam)</w:t>
      </w:r>
    </w:p>
    <w:p>
      <w:pPr>
        <w:jc w:val="left"/>
      </w:pPr>
      <w:r>
        <w:rPr>
          <w:b/>
        </w:rPr>
        <w:t>Bezug:</w:t>
      </w:r>
      <w:r>
        <w:t xml:space="preserve"> Spezielle artenschutzrechtliche Prüfung (saP), Büro NaturaConsult Eberswalde, Bericht-Nr. NC-WTH-2022, Datum: 15.03.2023</w:t>
      </w:r>
    </w:p>
    <w:p/>
    <w:p>
      <w:pPr>
        <w:pStyle w:val="Heading2"/>
      </w:pPr>
      <w:r>
        <w:rPr>
          <w:rFonts w:ascii="Times New Roman" w:hAnsi="Times New Roman"/>
        </w:rPr>
        <w:t>I. Sachverhalt</w:t>
      </w:r>
    </w:p>
    <w:p>
      <w:pPr>
        <w:jc w:val="left"/>
      </w:pPr>
      <w:r>
        <w:t>Der Rotmilan (</w:t>
      </w:r>
      <w:r>
        <w:rPr>
          <w:i/>
        </w:rPr>
        <w:t>Milvus milvus</w:t>
      </w:r>
      <w:r>
        <w:t xml:space="preserve">) ist eine besonders und streng geschützte Art gem. Anhang I der Vogelschutzrichtlinie 2009/147/EG sowie Anlage 1 der Bundesartenschutzverordnung (BArtSchV). Brandenburg trägt aufgrund der bundesweit größten Rotmilan-Population eine besondere Schutzverantwortung. Nach den „Hinweisen des MLUK zur Berücksichtigung des Artenschutzes bei WEA-Vorhaben in Brandenburg" (Stand 2022, im Folgenden: MLUK-Hinweise 2022) gilt für den Rotmilan ein anlagenspezifischer </w:t>
      </w:r>
      <w:r>
        <w:rPr>
          <w:b/>
        </w:rPr>
        <w:t>Tabu-Bereich</w:t>
      </w:r>
      <w:r>
        <w:t xml:space="preserve"> von 500 m Radius um den Horst sowie ein erweiterter </w:t>
      </w:r>
      <w:r>
        <w:rPr>
          <w:b/>
        </w:rPr>
        <w:t>Prüfbereich</w:t>
      </w:r>
      <w:r>
        <w:t xml:space="preserve"> von 1.000 m.</w:t>
      </w:r>
    </w:p>
    <w:p/>
    <w:p>
      <w:pPr>
        <w:pStyle w:val="Heading2"/>
      </w:pPr>
      <w:r>
        <w:rPr>
          <w:rFonts w:ascii="Times New Roman" w:hAnsi="Times New Roman"/>
        </w:rPr>
        <w:t>II. Festgestellte Mängel der saP</w:t>
      </w:r>
    </w:p>
    <w:p>
      <w:pPr>
        <w:pStyle w:val="Heading3"/>
      </w:pPr>
      <w:r>
        <w:rPr>
          <w:rFonts w:ascii="Times New Roman" w:hAnsi="Times New Roman"/>
        </w:rPr>
        <w:t>Mangel 1: Unzureichende Kartierungsintensität</w:t>
      </w:r>
    </w:p>
    <w:p>
      <w:pPr>
        <w:jc w:val="left"/>
      </w:pPr>
      <w:r>
        <w:t xml:space="preserve">Die saP des Büros NaturaConsult dokumentiert für das Untersuchungsjahr 2022 lediglich </w:t>
      </w:r>
      <w:r>
        <w:rPr>
          <w:b/>
        </w:rPr>
        <w:t>12 Begehungstermine</w:t>
      </w:r>
      <w:r>
        <w:t xml:space="preserve"> zur Rotmilan-Erfassung (saP, S. 23, Tab. 3). Die MLUK-Hinweise 2022 verlangen für UVP-pflichtige WEA-Vorhaben in Gebieten mit bekannter Rotmilan-Präsenz </w:t>
      </w:r>
      <w:r>
        <w:rPr>
          <w:b/>
        </w:rPr>
        <w:t>mindestens 48 Begehungstermine</w:t>
      </w:r>
      <w:r>
        <w:t xml:space="preserve"> über zwei Erfassungsjahre. Ein zweites Erfassungsjahr fehlt vollständig.</w:t>
      </w:r>
    </w:p>
    <w:p>
      <w:pPr>
        <w:pStyle w:val="Heading3"/>
      </w:pPr>
      <w:r>
        <w:rPr>
          <w:rFonts w:ascii="Times New Roman" w:hAnsi="Times New Roman"/>
        </w:rPr>
        <w:t>Mangel 2: Horst nicht berücksichtigt</w:t>
      </w:r>
    </w:p>
    <w:p>
      <w:pPr>
        <w:jc w:val="left"/>
      </w:pPr>
      <w:r>
        <w:t xml:space="preserve">Im Rahmen unserer eigenen Vor-Ort-Prüfung (Begehung 20.03.2026 durch NABU-Kreisvorsitzenden Dr. Ralf Stickelberger, Templin) wurde ein </w:t>
      </w:r>
      <w:r>
        <w:rPr>
          <w:b/>
        </w:rPr>
        <w:t>aktiver Rotmilan-Horst</w:t>
      </w:r>
      <w:r>
        <w:t xml:space="preserve"> in einem Waldstück nordöstlich von Templin (Koordinaten: 53°07'12" N, 13°22'34" O) festgestellt. Die Entfernung dieses Horstes zur geplanten WEA 03 beträgt </w:t>
      </w:r>
      <w:r>
        <w:rPr>
          <w:b/>
        </w:rPr>
        <w:t>aufgemessen 387 m</w:t>
      </w:r>
      <w:r>
        <w:t xml:space="preserve"> – damit liegt WEA 03 innerhalb des Tabu-Bereichs von 500 m. Der Horst war zum Zeitpunkt der NaturaConsult-Kartierung (März–Oktober 2022) nach unserer Einschätzung bereits vorhanden; er ist in der saP nicht verzeichnet.</w:t>
      </w:r>
    </w:p>
    <w:p>
      <w:pPr>
        <w:jc w:val="left"/>
      </w:pPr>
      <w:r>
        <w:t>Zum Vergleich: Das OVG Berlin-Brandenburg hat in seiner Entscheidung vom 24.05.2019 (Az.: OVG 11 A 9.15) eine immissionsschutzrechtliche Genehmigung aufgehoben, weil ein Rotmilan-Horst im Tabu-Bereich nicht korrekt erfasst worden war. Vgl. auch BVerwG, Urt. v. 27.06.2013, 4 C 1.12 (Windenergieanlagen und Artenschutz).</w:t>
      </w:r>
    </w:p>
    <w:p>
      <w:pPr>
        <w:pStyle w:val="Heading3"/>
      </w:pPr>
      <w:r>
        <w:rPr>
          <w:rFonts w:ascii="Times New Roman" w:hAnsi="Times New Roman"/>
        </w:rPr>
        <w:t>Mangel 3: Raumnutzungsanalyse nicht durchgeführt</w:t>
      </w:r>
    </w:p>
    <w:p>
      <w:pPr>
        <w:jc w:val="left"/>
      </w:pPr>
      <w:r>
        <w:t>Die saP enthält keine vollständige Raumnutzungsanalyse (RNA) für den Rotmilan. Die MLUK-Hinweise 2022 (Anhang 3) verlangen bei Horstnachweisen im Prüfbereich von 1.000 m eine GPS-Telemetrie oder visuelle Raumnutzungsanalyse über mindestens 54 Termine. Eine RNA fehlt in der saP vollständig.</w:t>
      </w:r>
    </w:p>
    <w:p>
      <w:pPr>
        <w:pStyle w:val="Heading3"/>
      </w:pPr>
      <w:r>
        <w:rPr>
          <w:rFonts w:ascii="Times New Roman" w:hAnsi="Times New Roman"/>
        </w:rPr>
        <w:t>Mangel 4: Fehlende Auseinandersetzung mit Schlagopfer-Statistik</w:t>
      </w:r>
    </w:p>
    <w:p>
      <w:pPr>
        <w:jc w:val="left"/>
      </w:pPr>
      <w:r>
        <w:t>Die saP behauptet ohne Begründung, der Rotmilan meide den Anlagenbereich. Die Schlagopfer-Statistik der Dokumentations- und Beratungsstelle des Bundes zur Frage der Vögel an Windenergieanlagen (DBBW) verzeichnet für den Zeitraum 2002–2022 für das Bundesland Brandenburg 47 Schlagopfer beim Rotmilan (DBBW-Bericht 2023, Tab. A-1). Die saP setzt sich mit dieser Datenlage nicht auseinander.</w:t>
      </w:r>
    </w:p>
    <w:p/>
    <w:p>
      <w:pPr>
        <w:pStyle w:val="Heading2"/>
      </w:pPr>
      <w:r>
        <w:rPr>
          <w:rFonts w:ascii="Times New Roman" w:hAnsi="Times New Roman"/>
        </w:rPr>
        <w:t>III. Rechtliche Würdigung</w:t>
      </w:r>
    </w:p>
    <w:p>
      <w:pPr>
        <w:jc w:val="left"/>
      </w:pPr>
      <w:r>
        <w:t>Die Errichtung von WEA 03 in einem Abstand von 387 m zu einem aktiven Rotmilan-Horst verstößt gegen § 44 Abs. 1 Nr. 1 BNatSchG (Tötungsverbot). Eine Ausnahme nach § 45 Abs. 7 BNatSchG wurde nicht beantragt und würde aufgrund des günstigen Erhaltungszustands der Population voraussichtlich nicht erteilt werden.</w:t>
      </w:r>
    </w:p>
    <w:p>
      <w:pPr>
        <w:jc w:val="left"/>
      </w:pPr>
      <w:r>
        <w:t xml:space="preserve">Der Genehmigungsbescheid ist damit </w:t>
      </w:r>
      <w:r>
        <w:rPr>
          <w:b/>
        </w:rPr>
        <w:t>materiell rechtswidrig</w:t>
      </w:r>
      <w:r>
        <w:t>, soweit er WEA 03 betrifft. Aufgrund der engen funktionalen Verknüpfung zwischen den Windenergieanlagen (gemeinsame Netzanbindung, betriebstechnische Abhängigkeit) ist eine Teilanfechtbarkeit nur insoweit möglich, als der Bescheid objektiv trennbar ist. Dies ist im Einzelfall zu prüfen (vgl. BVerwG, Urt. v. 21.11.2013, 7 C 40.11).</w:t>
      </w:r>
    </w:p>
    <w:p/>
    <w:p>
      <w:pPr>
        <w:pStyle w:val="Heading2"/>
      </w:pPr>
      <w:r>
        <w:rPr>
          <w:rFonts w:ascii="Times New Roman" w:hAnsi="Times New Roman"/>
        </w:rPr>
        <w:t>IV. Sofortmaßnahmen</w:t>
      </w:r>
    </w:p>
    <w:p>
      <w:pPr>
        <w:pStyle w:val="ListNumber"/>
      </w:pPr>
      <w:r>
        <w:t>Ornithologisches Gegengutachten beauftragen (Kontakt: Prof. Dr. Elisabeth Krüger, Universität Potsdam, FG Tierökologie – bereits angefragt).</w:t>
      </w:r>
    </w:p>
    <w:p>
      <w:pPr>
        <w:pStyle w:val="ListNumber"/>
      </w:pPr>
      <w:r>
        <w:t>Einstweilige Anordnung gegen Baumfällungen im Horstbereich (§ 123 VwGO) prüfen – Bausaison beginnt April 2026.</w:t>
      </w:r>
    </w:p>
    <w:p>
      <w:pPr>
        <w:pStyle w:val="ListNumber"/>
      </w:pPr>
      <w:r>
        <w:t>NABU-Kreisvorsitzender Dr. Stickelberger als Zeuge benennen.</w:t>
      </w:r>
    </w:p>
    <w:p/>
    <w:p>
      <w:pPr>
        <w:jc w:val="left"/>
      </w:pPr>
      <w:r>
        <w:rPr>
          <w:i/>
        </w:rPr>
        <w:t>Erstellt: 26.03.2026 | Bearbeiter: RA Dr. K. Maaßmann | Akte: WUE-2026/047</w:t>
      </w:r>
    </w:p>
    <w:p>
      <w:pPr>
        <w:jc w:val="left"/>
      </w:pPr>
      <w:r>
        <w:rPr>
          <w:b/>
        </w:rPr>
        <w:t>Quellen:</w:t>
      </w:r>
      <w:r>
        <w:t xml:space="preserve"> § 44 Abs. 1 Nr. 1 BNatSchG; BVerwG, Urt. v. 27.06.2013, 4 C 1.12 (dejure.org); OVG Berlin-Brandenburg, Urt. v. 24.05.2019, OVG 11 A 9.15 (openjur.de)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