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Rechtliches Memorandum: Klimaklage-Verschränkung und BVerfG-Rechtsprechung</w:t>
      </w:r>
    </w:p>
    <w:p>
      <w:pPr>
        <w:jc w:val="left"/>
      </w:pPr>
      <w:r>
        <w:rPr>
          <w:b/>
        </w:rPr>
        <w:t>Erstellt von:</w:t>
      </w:r>
      <w:r>
        <w:t xml:space="preserve"> RA Dr. Korbinian Maaßmann</w:t>
      </w:r>
    </w:p>
    <w:p>
      <w:pPr>
        <w:jc w:val="left"/>
      </w:pPr>
      <w:r>
        <w:rPr>
          <w:b/>
        </w:rPr>
        <w:t>Datum:</w:t>
      </w:r>
      <w:r>
        <w:t xml:space="preserve"> 30.03.2026</w:t>
      </w:r>
    </w:p>
    <w:p>
      <w:pPr>
        <w:jc w:val="left"/>
      </w:pPr>
      <w:r>
        <w:rPr>
          <w:b/>
        </w:rPr>
        <w:t>Verfahren:</w:t>
      </w:r>
      <w:r>
        <w:t xml:space="preserve"> 4 K 218/26 (VG Potsdam); OVG 2 A 18.26 (OVG Berlin-Brandenburg)</w:t>
      </w:r>
    </w:p>
    <w:p/>
    <w:p>
      <w:pPr>
        <w:pStyle w:val="Heading2"/>
      </w:pPr>
      <w:r>
        <w:rPr>
          <w:rFonts w:ascii="Times New Roman" w:hAnsi="Times New Roman"/>
        </w:rPr>
        <w:t>I. Ausgangslage</w:t>
      </w:r>
    </w:p>
    <w:p>
      <w:pPr>
        <w:jc w:val="left"/>
      </w:pPr>
      <w:r>
        <w:t>Die Vorhabenträgerin WindEnergie Uckermark GmbH &amp; Co. KG hat im Genehmigungsverfahren (LfU, Az.: 40.2-LfU-7204-22/26) die Erreichung der Klimaschutzziele Brandenburgs als öffentliches Interesse im Sinne des Bundesimmissionsschutzgesetzes angeführt. Das LfU hat dieses Argument in der Abwägung aufgegriffen und ausgeführt (Bescheid S. 38), dass das „überragende öffentliche Interesse" an der Windenergienutzung gem. § 2 EEG 2023 i.V.m. § 35 Abs. 1 Nr. 5 BauGB die privaten Beeinträchtigungen der Nachbarschaft überwiege.</w:t>
      </w:r>
    </w:p>
    <w:p>
      <w:pPr>
        <w:jc w:val="left"/>
      </w:pPr>
      <w:r>
        <w:t>Die BI hält dem entgegen, dass diese Abwägung methodisch fehlerhaft ist und die BVerfG-Rechtsprechung unzutreffend anwendet.</w:t>
      </w:r>
    </w:p>
    <w:p/>
    <w:p>
      <w:pPr>
        <w:pStyle w:val="Heading2"/>
      </w:pPr>
      <w:r>
        <w:rPr>
          <w:rFonts w:ascii="Times New Roman" w:hAnsi="Times New Roman"/>
        </w:rPr>
        <w:t>II. BVerfG-Klimabeschluss und seine Auswirkungen</w:t>
      </w:r>
    </w:p>
    <w:p>
      <w:pPr>
        <w:pStyle w:val="Heading3"/>
      </w:pPr>
      <w:r>
        <w:rPr>
          <w:rFonts w:ascii="Times New Roman" w:hAnsi="Times New Roman"/>
        </w:rPr>
        <w:t>1. BVerfG, Beschluss vom 24.03.2021 (1 BvR 2656/18 – „Klimabeschluss")</w:t>
      </w:r>
    </w:p>
    <w:p>
      <w:pPr>
        <w:jc w:val="left"/>
      </w:pPr>
      <w:r>
        <w:t>Das Bundesverfassungsgericht hat entschieden, dass die nach dem KSG a.F. vorgesehenen CO₂-Budgets für die Zeit nach 2030 unzureichend waren und die Gesetzgeber verpflichtet sind, die ab 2031 erforderlichen Reduktionsleistungen so rechtzeitig zu regeln, dass die Freiheitsrechte der nachfolgenden Generationen nicht unverhältnismäßig eingeschränkt werden. Die Entscheidung enthält keine direkte Aussage dazu, dass einzelne Genehmigungsverfahren zwingend zugunsten der Windenergie entschieden werden müssen.</w:t>
      </w:r>
    </w:p>
    <w:p>
      <w:pPr>
        <w:jc w:val="left"/>
      </w:pPr>
      <w:r>
        <w:t>Vgl. BVerfG, Beschl. v. 24.03.2021, 1 BvR 2656/18, Rdnr. 183: „Der Gesetzgeber ist nicht gehindert, Klimaschutzmaßnahmen auch gegenüber privaten Beeinträchtigungen zu gewichten. Er muss dabei jedoch das Verhältnismäßigkeitsprinzip wahren."</w:t>
      </w:r>
    </w:p>
    <w:p>
      <w:pPr>
        <w:pStyle w:val="Heading3"/>
      </w:pPr>
      <w:r>
        <w:rPr>
          <w:rFonts w:ascii="Times New Roman" w:hAnsi="Times New Roman"/>
        </w:rPr>
        <w:t>2. Länderspezifische Klimaschutzziele Brandenburg</w:t>
      </w:r>
    </w:p>
    <w:p>
      <w:pPr>
        <w:jc w:val="left"/>
      </w:pPr>
      <w:r>
        <w:t>Das Klimaschutzgesetz des Landes Brandenburg (KSG BB, in Kraft seit 2020, § 3 Abs. 1) legt fest, dass die Treibhausgasemissionen bis 2030 um 60 % gegenüber 1990 zu senken sind und Brandenburg bis 2050 klimaneutral sein soll. Das Energie- und Klimaprogramm Brandenburg (EKP 2030) sieht den Ausbau der Windenergie an Land auf 10.500 MW bis 2030 vor (Stand 2023: ca. 7.200 MW installiert).</w:t>
      </w:r>
    </w:p>
    <w:p>
      <w:pPr>
        <w:pStyle w:val="Heading3"/>
      </w:pPr>
      <w:r>
        <w:rPr>
          <w:rFonts w:ascii="Times New Roman" w:hAnsi="Times New Roman"/>
        </w:rPr>
        <w:t>3. Kritik an der Abwägungsmethodik des LfU</w:t>
      </w:r>
    </w:p>
    <w:p>
      <w:pPr>
        <w:jc w:val="left"/>
      </w:pPr>
      <w:r>
        <w:t>Das LfU hat im Genehmigungsbescheid (S. 38) pauschal auf das „überragende öffentliche Interesse" nach § 2 EEG 2023 verwiesen, ohne:</w:t>
      </w:r>
    </w:p>
    <w:p>
      <w:pPr>
        <w:jc w:val="left"/>
      </w:pPr>
      <w:r>
        <w:t>a) zu prüfen, ob der konkrete Windpark einen wesentlichen Beitrag zur Erreichung der Klimaschutzziele leistet (5 × 6,0 MW = 30 MW, entspricht ca. 0,3 % des Ausbaupfades),</w:t>
      </w:r>
    </w:p>
    <w:p>
      <w:pPr>
        <w:jc w:val="left"/>
      </w:pPr>
      <w:r>
        <w:t>b) die konkreten Beeinträchtigungen der Nachbarschaft (Schallimmissionen, Schattenwurf, Artenschutz) im Einzelnen gegen den Klimaschutzbeitrag abzuwägen,</w:t>
      </w:r>
    </w:p>
    <w:p>
      <w:pPr>
        <w:jc w:val="left"/>
      </w:pPr>
      <w:r>
        <w:t xml:space="preserve">c) die </w:t>
      </w:r>
      <w:r>
        <w:rPr>
          <w:b/>
        </w:rPr>
        <w:t>Verhältnismäßigkeit</w:t>
      </w:r>
      <w:r>
        <w:t xml:space="preserve"> im Sinne des BVerfG-Klimabeschlusses zu prüfen – also ob weniger eingriffsintensive Alternativen (andere Standorte, geringere Anlagenzahl, technische Schallminderung) denselben Klimaschutzbeitrag leisten könnten.</w:t>
      </w:r>
    </w:p>
    <w:p>
      <w:pPr>
        <w:pStyle w:val="Heading3"/>
      </w:pPr>
      <w:r>
        <w:rPr>
          <w:rFonts w:ascii="Times New Roman" w:hAnsi="Times New Roman"/>
        </w:rPr>
        <w:t>4. Bedeutung für das vorliegende Verfahren</w:t>
      </w:r>
    </w:p>
    <w:p>
      <w:pPr>
        <w:jc w:val="left"/>
      </w:pPr>
      <w:r>
        <w:t xml:space="preserve">Die BI argumentiert nicht gegen den Klimaschutz als solchen, sondern gegen die </w:t>
      </w:r>
      <w:r>
        <w:rPr>
          <w:b/>
        </w:rPr>
        <w:t>fehlerhafte Abwägungsmethodik</w:t>
      </w:r>
      <w:r>
        <w:t xml:space="preserve">. Ein Genehmigungsbescheid, der die Klimaschutzargumente der Vorhabenträgerin übernimmt, ohne eine eigenständige Verhältnismäßigkeitsprüfung vorzunehmen, leidet an einem </w:t>
      </w:r>
      <w:r>
        <w:rPr>
          <w:b/>
        </w:rPr>
        <w:t>Abwägungsfehler</w:t>
      </w:r>
      <w:r>
        <w:t xml:space="preserve"> (§ 24 VwVfG i.V.m. dem Gebot der fehlerfreien Ermessensausübung).</w:t>
      </w:r>
    </w:p>
    <w:p>
      <w:pPr>
        <w:jc w:val="left"/>
      </w:pPr>
      <w:r>
        <w:t xml:space="preserve">Die Bürgerinitiative wendet sich </w:t>
      </w:r>
      <w:r>
        <w:rPr>
          <w:b/>
        </w:rPr>
        <w:t>nicht</w:t>
      </w:r>
      <w:r>
        <w:t xml:space="preserve"> gegen Klimaschutz und Windenergienutzung als solche (was auch von der Klagebefugnis nach § 2 UmwRG ohnehin nicht gedeckt wäre), sondern rügt, dass die </w:t>
      </w:r>
      <w:r>
        <w:rPr>
          <w:b/>
        </w:rPr>
        <w:t>konkret-individuelle Abwägung</w:t>
      </w:r>
      <w:r>
        <w:t xml:space="preserve"> in diesem Verfahren mit diesem Standort methodisch fehlerhaft ist.</w:t>
      </w:r>
    </w:p>
    <w:p/>
    <w:p>
      <w:pPr>
        <w:pStyle w:val="Heading2"/>
      </w:pPr>
      <w:r>
        <w:rPr>
          <w:rFonts w:ascii="Times New Roman" w:hAnsi="Times New Roman"/>
        </w:rPr>
        <w:t>III. Energietrassen-Bezug: Planfeststellungsverfahren 50Hertz</w:t>
      </w:r>
    </w:p>
    <w:p>
      <w:pPr>
        <w:jc w:val="left"/>
      </w:pPr>
      <w:r>
        <w:t>Das Bundesnetzagentur-Planfeststellungsverfahren für die Höchstspannungsleitung „Uckermark-Pommern-Leitung" (50Hertz, Trasse UPL-2024, Planfeststellungsverfahren Az.: BNetzA-PFV-2024-UPL) betrifft eine 380-kV-Freileitung, die 2,3 km östlich des Windpark-Standorts geführt werden soll.</w:t>
      </w:r>
    </w:p>
    <w:p>
      <w:pPr>
        <w:jc w:val="left"/>
      </w:pPr>
      <w:r>
        <w:rPr>
          <w:b/>
        </w:rPr>
        <w:t>Salami-Taktik-Argument:</w:t>
      </w:r>
      <w:r>
        <w:t xml:space="preserve"> Die getrennte Genehmigung von Windpark und Netzanschlussleitung stellt nach der Rechtsprechung des OVG Berlin-Brandenburg eine unzulässige Aufspaltung eines einheitlich zu beurteilenden Vorhabens dar, wenn die Leitungen ausschließlich für den Anschluss des Windparks benötigt werden (OVG Berlin-Brandenburg, Urt. v. 14.10.2015, OVG 11 A 4.13). Dies ist hier zu prüfen.</w:t>
      </w:r>
    </w:p>
    <w:p/>
    <w:p>
      <w:pPr>
        <w:pStyle w:val="Heading2"/>
      </w:pPr>
      <w:r>
        <w:rPr>
          <w:rFonts w:ascii="Times New Roman" w:hAnsi="Times New Roman"/>
        </w:rPr>
        <w:t>IV. Fazit</w:t>
      </w:r>
    </w:p>
    <w:p>
      <w:pPr>
        <w:pStyle w:val="ListNumber"/>
      </w:pPr>
      <w:r>
        <w:t>Die BVerfG-Rechtsprechung zum Klimaschutz zwingt nicht zur Genehmigung jedes Windparkprojekts, sondern verlangt eine verhältnismäßige Abwägung.</w:t>
      </w:r>
    </w:p>
    <w:p>
      <w:pPr>
        <w:pStyle w:val="ListNumber"/>
      </w:pPr>
      <w:r>
        <w:t>Das LfU hat diese Abwägung fehlerhaft durchgeführt.</w:t>
      </w:r>
    </w:p>
    <w:p>
      <w:pPr>
        <w:pStyle w:val="ListNumber"/>
      </w:pPr>
      <w:r>
        <w:t>Der parallel laufende 50Hertz-Trassen-Planfeststellung begründet ein eigenständiges prozessuales Argument (Unzulässigkeit der Vorhaben-Aufspaltung).</w:t>
      </w:r>
    </w:p>
    <w:p/>
    <w:p>
      <w:pPr>
        <w:jc w:val="left"/>
      </w:pPr>
      <w:r>
        <w:rPr>
          <w:i/>
        </w:rPr>
        <w:t>Erstellt: 30.03.2026 | Bearbeiter: RA Dr. K. Maaßmann | Akte: WUE-2026/047</w:t>
      </w:r>
    </w:p>
    <w:p>
      <w:pPr>
        <w:jc w:val="left"/>
      </w:pPr>
      <w:r>
        <w:rPr>
          <w:b/>
        </w:rPr>
        <w:t>Quellen:</w:t>
      </w:r>
      <w:r>
        <w:t xml:space="preserve"> BVerfG, Beschl. v. 24.03.2021, 1 BvR 2656/18 (dejure.org); § 2 EEG 2023; § 3 KSG BB; OVG Berlin-Brandenburg, Urt. v. 14.10.2015, OVG 11 A 4.13 (openjur.de)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