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Vorbereitung Eilantrag § 80 Abs. 5 VwGO</w:t>
      </w:r>
    </w:p>
    <w:p>
      <w:pPr>
        <w:jc w:val="left"/>
      </w:pPr>
      <w:r>
        <w:rPr>
          <w:b/>
        </w:rPr>
        <w:t>Erstellt von:</w:t>
      </w:r>
      <w:r>
        <w:t xml:space="preserve"> RA Dr. Korbinian Maaßmann</w:t>
      </w:r>
    </w:p>
    <w:p>
      <w:pPr>
        <w:jc w:val="left"/>
      </w:pPr>
      <w:r>
        <w:rPr>
          <w:b/>
        </w:rPr>
        <w:t>Datum:</w:t>
      </w:r>
      <w:r>
        <w:t xml:space="preserve"> 01.04.2026</w:t>
      </w:r>
    </w:p>
    <w:p>
      <w:pPr>
        <w:jc w:val="left"/>
      </w:pPr>
      <w:r>
        <w:rPr>
          <w:b/>
        </w:rPr>
        <w:t>Verfahren:</w:t>
      </w:r>
      <w:r>
        <w:t xml:space="preserve"> 4 L 89/26 (VG Potsdam)</w:t>
      </w:r>
    </w:p>
    <w:p/>
    <w:p>
      <w:pPr>
        <w:pStyle w:val="Heading2"/>
      </w:pPr>
      <w:r>
        <w:rPr>
          <w:rFonts w:ascii="Times New Roman" w:hAnsi="Times New Roman"/>
        </w:rPr>
        <w:t>I. Anlass: Anordnung des Sofortvollzugs</w:t>
      </w:r>
    </w:p>
    <w:p>
      <w:pPr>
        <w:jc w:val="left"/>
      </w:pPr>
      <w:r>
        <w:t>Das LfU Brandenburg hat im Genehmigungsbescheid vom 14.03.2026 (Az.: 40.2-LfU-7204-22/26, Abschnitt VII, S. 52) die sofortige Vollziehung der immissionsschutzrechtlichen Genehmigung gem. § 80 Abs. 2 Nr. 4 VwGO angeordnet. Die Begründung lautet (Bescheid S. 52 f.):</w:t>
      </w:r>
    </w:p>
    <w:p>
      <w:pPr>
        <w:ind w:left="567"/>
      </w:pPr>
      <w:r>
        <w:rPr>
          <w:i/>
        </w:rPr>
        <w:t>„Die Anordnung der sofortigen Vollziehung ist im überwiegenden öffentlichen Interesse geboten. Der Ausbau erneuerbarer Energien dient der Daseinsvorsorge und hat besonderes öffentliches Gewicht. Eine Verzögerung durch aufschiebende Wirkung einer Klage würde den geplanten Inbetriebnahmetermin November 2026 gefährden und damit den Klimaschutzzielen des Landes Brandenburg widerstreiten."</w:t>
      </w:r>
    </w:p>
    <w:p>
      <w:pPr>
        <w:jc w:val="left"/>
      </w:pPr>
      <w:r>
        <w:t xml:space="preserve">Diese Begründung ist nach unserer Einschätzung </w:t>
      </w:r>
      <w:r>
        <w:rPr>
          <w:b/>
        </w:rPr>
        <w:t>unzureichend</w:t>
      </w:r>
      <w:r>
        <w:t xml:space="preserve"> (s. u.).</w:t>
      </w:r>
    </w:p>
    <w:p/>
    <w:p>
      <w:pPr>
        <w:pStyle w:val="Heading2"/>
      </w:pPr>
      <w:r>
        <w:rPr>
          <w:rFonts w:ascii="Times New Roman" w:hAnsi="Times New Roman"/>
        </w:rPr>
        <w:t>II. Anforderungen an die Sofortvollzugsbegründung</w:t>
      </w:r>
    </w:p>
    <w:p>
      <w:pPr>
        <w:pStyle w:val="Heading3"/>
      </w:pPr>
      <w:r>
        <w:rPr>
          <w:rFonts w:ascii="Times New Roman" w:hAnsi="Times New Roman"/>
        </w:rPr>
        <w:t>Rechtlicher Maßstab</w:t>
      </w:r>
    </w:p>
    <w:p>
      <w:pPr>
        <w:jc w:val="left"/>
      </w:pPr>
      <w:r>
        <w:t xml:space="preserve">Nach § 80 Abs. 3 S. 1 VwGO muss die Behörde das besondere Interesse an der sofortigen Vollziehung </w:t>
      </w:r>
      <w:r>
        <w:rPr>
          <w:b/>
        </w:rPr>
        <w:t>schriftlich begründen</w:t>
      </w:r>
      <w:r>
        <w:t>. Die Begründung muss auf den konkreten Einzelfall bezogen sein; eine stereotype, formelhaft-abstrakte Begründung genügt nicht (vgl. OVG Berlin-Brandenburg, Beschl. v. 23.07.2019, OVG 11 S 8.19; BVerwG, Beschl. v. 18.09.2001, 1 DB 26.01).</w:t>
      </w:r>
    </w:p>
    <w:p>
      <w:pPr>
        <w:pStyle w:val="Heading3"/>
      </w:pPr>
      <w:r>
        <w:rPr>
          <w:rFonts w:ascii="Times New Roman" w:hAnsi="Times New Roman"/>
        </w:rPr>
        <w:t>Mangel der LfU-Begründung</w:t>
      </w:r>
    </w:p>
    <w:p>
      <w:pPr>
        <w:jc w:val="left"/>
      </w:pPr>
      <w:r>
        <w:t>Die LfU-Begründung erschöpft sich in allgemeinen Erwägungen zum Klimaschutz und zum Ausbau erneuerbarer Energien. Sie enthält keine einzelfallbezogene Abwägung:</w:t>
      </w:r>
    </w:p>
    <w:p>
      <w:pPr>
        <w:pStyle w:val="ListBullet"/>
      </w:pPr>
      <w:r>
        <w:t>Keine Auseinandersetzung damit, warum gerade die Inbetriebnahme im November 2026 einer sofortigen Vollziehung bedarf (Bauzeitenplan nicht dargelegt),</w:t>
      </w:r>
    </w:p>
    <w:p>
      <w:pPr>
        <w:pStyle w:val="ListBullet"/>
      </w:pPr>
      <w:r>
        <w:t>Keine Abwägung der konkreten Interessen der Drittbetroffenen (Dr. Maashardt, Brüggemann),</w:t>
      </w:r>
    </w:p>
    <w:p>
      <w:pPr>
        <w:pStyle w:val="ListBullet"/>
      </w:pPr>
      <w:r>
        <w:t>Kein Auseinanderfallen von wirtschaftlichem Schaden der Vorhabenträgerin und Erholbarkeit des Eingriffs geprüft.</w:t>
      </w:r>
    </w:p>
    <w:p>
      <w:pPr>
        <w:jc w:val="left"/>
      </w:pPr>
      <w:r>
        <w:t>Nach OVG Brandenburg (Beschl. v. 23.05.2018, 11 S 23.18; vgl. openjur.de) ist die Anordnung des Sofortvollzugs formell rechtswidrig, wenn die Begründung ausschließlich aus abstrakten Gemeinwohlerwägungen besteht.</w:t>
      </w:r>
    </w:p>
    <w:p/>
    <w:p>
      <w:pPr>
        <w:pStyle w:val="Heading2"/>
      </w:pPr>
      <w:r>
        <w:rPr>
          <w:rFonts w:ascii="Times New Roman" w:hAnsi="Times New Roman"/>
        </w:rPr>
        <w:t>III. Interessenabwägung nach § 80 Abs. 5 VwGO</w:t>
      </w:r>
    </w:p>
    <w:p>
      <w:pPr>
        <w:pStyle w:val="Heading3"/>
      </w:pPr>
      <w:r>
        <w:rPr>
          <w:rFonts w:ascii="Times New Roman" w:hAnsi="Times New Roman"/>
        </w:rPr>
        <w:t>Maßstab des Eilantrags</w:t>
      </w:r>
    </w:p>
    <w:p>
      <w:pPr>
        <w:jc w:val="left"/>
      </w:pPr>
      <w:r>
        <w:t>Das Gericht hat gem. § 80 Abs. 5 S. 1 VwGO eine eigenständige Interessenabwägung vorzunehmen. Dabei kommt den Erfolgsaussichten der Hauptsache indizielle Bedeutung zu.</w:t>
      </w:r>
    </w:p>
    <w:p>
      <w:pPr>
        <w:pStyle w:val="Heading3"/>
      </w:pPr>
      <w:r>
        <w:rPr>
          <w:rFonts w:ascii="Times New Roman" w:hAnsi="Times New Roman"/>
        </w:rPr>
        <w:t>Erfolgsaussichten der Hauptsache (summarische Prüfung)</w:t>
      </w:r>
    </w:p>
    <w:p>
      <w:pPr>
        <w:jc w:val="left"/>
      </w:pPr>
      <w:r>
        <w:t xml:space="preserve">Nach den in den Aktenstücken 04 und 05 dargestellten Mängeln erscheinen die Erfolgsaussichten der Anfechtungsklage 4 K 218/26 als </w:t>
      </w:r>
      <w:r>
        <w:rPr>
          <w:b/>
        </w:rPr>
        <w:t>offen bis überwiegend begründet</w:t>
      </w:r>
      <w:r>
        <w:t>. Insbesondere:</w:t>
      </w:r>
    </w:p>
    <w:p>
      <w:pPr>
        <w:pStyle w:val="ListNumber"/>
      </w:pPr>
      <w:r>
        <w:t>Die Schallprognose enthält methodische Fehler (LAI-Hinweise 2022 nicht berücksichtigt, fehlerhafte Eingangsdaten für WEA 03), die zu einer Grenzwertüberschreitung am Immissionsort IO-05 führen.</w:t>
      </w:r>
    </w:p>
    <w:p>
      <w:pPr>
        <w:pStyle w:val="ListNumber"/>
      </w:pPr>
      <w:r>
        <w:t>Der Rotmilan-Horst in 387 m Abstand zu WEA 03 ist nicht erfasst; § 44 Abs. 1 Nr. 1 BNatSchG könnte verletzt sein.</w:t>
      </w:r>
    </w:p>
    <w:p>
      <w:pPr>
        <w:pStyle w:val="ListNumber"/>
      </w:pPr>
      <w:r>
        <w:t>Die Schattenwurfberechnung enthält einen Geometriefehler bei WEA 03 (Rotordurchmesser 151 m statt 163 m).</w:t>
      </w:r>
    </w:p>
    <w:p>
      <w:pPr>
        <w:jc w:val="left"/>
      </w:pPr>
      <w:r>
        <w:t xml:space="preserve">Bei offenem Ausgang der Hauptsache überwiegen die </w:t>
      </w:r>
      <w:r>
        <w:rPr>
          <w:b/>
        </w:rPr>
        <w:t>Folgenabwägungsinteressen zugunsten der Antragsteller</w:t>
      </w:r>
      <w:r>
        <w:t>:</w:t>
      </w:r>
    </w:p>
    <w:p>
      <w:pPr>
        <w:pStyle w:val="ListBullet"/>
      </w:pPr>
      <w:r>
        <w:rPr>
          <w:b/>
        </w:rPr>
        <w:t>Irreversibilität des Eingriffs:</w:t>
      </w:r>
      <w:r>
        <w:t xml:space="preserve"> Errichtete Windenergieanlagen können nach Inbetriebnahme praktisch nicht mehr rückgebaut werden (wirtschaftliche Irreversibilität). Ein stattgebender Eilbeschluss sichert den Status quo.</w:t>
      </w:r>
    </w:p>
    <w:p>
      <w:pPr>
        <w:pStyle w:val="ListBullet"/>
      </w:pPr>
      <w:r>
        <w:rPr>
          <w:b/>
        </w:rPr>
        <w:t>Schallbelastung:</w:t>
      </w:r>
      <w:r>
        <w:t xml:space="preserve"> Täglich nächtliche Lärmeinwirkungen auf Dr. Maashardt ab Inbetriebnahme (gesundheitliche Beeinträchtigungen nicht ausgeschlossen, Schlafstörungen ab 40 dB(A) nach WHO-Leitlinien 2018).</w:t>
      </w:r>
    </w:p>
    <w:p>
      <w:pPr>
        <w:pStyle w:val="ListBullet"/>
      </w:pPr>
      <w:r>
        <w:rPr>
          <w:b/>
        </w:rPr>
        <w:t>Wirtschaftlicher Schaden der Vorhabenträgerin:</w:t>
      </w:r>
      <w:r>
        <w:t xml:space="preserve"> Überschaubar, da Planungskosten bereits entstanden; laufende Ertragsausfälle während Verfahrensdauer sind durch Bürgschaft absicherbar.</w:t>
      </w:r>
    </w:p>
    <w:p>
      <w:pPr>
        <w:pStyle w:val="Heading3"/>
      </w:pPr>
      <w:r>
        <w:rPr>
          <w:rFonts w:ascii="Times New Roman" w:hAnsi="Times New Roman"/>
        </w:rPr>
        <w:t>Ergebnis der Interessenabwägung</w:t>
      </w:r>
    </w:p>
    <w:p>
      <w:pPr>
        <w:jc w:val="left"/>
      </w:pPr>
      <w:r>
        <w:t>Die aufschiebende Wirkung ist wiederherzustellen. Hilfsweise: Anordnung einer Sicherheitsleistung und Beschränkung des Vollzugs auf vorbereitende Maßnahmen (Fundamente ohne Turm- und Maschinenmontage).</w:t>
      </w:r>
    </w:p>
    <w:p/>
    <w:p>
      <w:pPr>
        <w:pStyle w:val="Heading2"/>
      </w:pPr>
      <w:r>
        <w:rPr>
          <w:rFonts w:ascii="Times New Roman" w:hAnsi="Times New Roman"/>
        </w:rPr>
        <w:t>IV. Verfahrensstrategie</w:t>
      </w:r>
    </w:p>
    <w:p>
      <w:pPr>
        <w:pStyle w:val="ListBullet"/>
      </w:pPr>
      <w:r>
        <w:t>Antrag stellen: Unverzüglich nach Klageerhebung (4 K 218/26), spätestens 16.04.2026.</w:t>
      </w:r>
    </w:p>
    <w:p>
      <w:pPr>
        <w:pStyle w:val="ListBullet"/>
      </w:pPr>
      <w:r>
        <w:t xml:space="preserve">Dringlichkeit: Baubeginn nach Auskunft der Vorhabenträgerin (Pressemitteilung 20.03.2026) für </w:t>
      </w:r>
      <w:r>
        <w:rPr>
          <w:b/>
        </w:rPr>
        <w:t>01.05.2026</w:t>
      </w:r>
      <w:r>
        <w:t xml:space="preserve"> geplant.</w:t>
      </w:r>
    </w:p>
    <w:p>
      <w:pPr>
        <w:pStyle w:val="ListBullet"/>
      </w:pPr>
      <w:r>
        <w:t>Sicherungsantrag § 123 VwGO: Parallel gegen Baumfällmaßnahmen im Horstbereich (drohende Irreversibilität durch Zerstörung des Rotmilan-Horstes bereits vor Hauptsacheentscheidung).</w:t>
      </w:r>
    </w:p>
    <w:p/>
    <w:p>
      <w:pPr>
        <w:jc w:val="left"/>
      </w:pPr>
      <w:r>
        <w:rPr>
          <w:i/>
        </w:rPr>
        <w:t>Erstellt: 01.04.2026 | Bearbeiter: RA Dr. K. Maaßmann | Akte: WUE-2026/047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