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09 – Formelle Rüge: Begründung Sofortvollzug (§ 80 Abs. 3 VwGO)</w:t>
      </w:r>
    </w:p>
    <w:p>
      <w:pPr>
        <w:jc w:val="left"/>
      </w:pPr>
      <w:r>
        <w:rPr>
          <w:b/>
        </w:rPr>
        <w:t>Aktenzeichen:</w:t>
      </w:r>
      <w:r>
        <w:t xml:space="preserve"> 4 L 89/26 (VG Potsdam)</w:t>
      </w:r>
    </w:p>
    <w:p>
      <w:pPr>
        <w:jc w:val="left"/>
      </w:pPr>
      <w:r>
        <w:rPr>
          <w:b/>
        </w:rPr>
        <w:t>Von:</w:t>
      </w:r>
      <w:r>
        <w:t xml:space="preserve"> RA Dr. Korbinian Maaßmann</w:t>
      </w:r>
    </w:p>
    <w:p>
      <w:pPr>
        <w:jc w:val="left"/>
      </w:pPr>
      <w:r>
        <w:rPr>
          <w:b/>
        </w:rPr>
        <w:t>An:</w:t>
      </w:r>
      <w:r>
        <w:t xml:space="preserve"> VG Potsdam</w:t>
      </w:r>
    </w:p>
    <w:p>
      <w:pPr>
        <w:jc w:val="left"/>
      </w:pPr>
      <w:r>
        <w:rPr>
          <w:b/>
        </w:rPr>
        <w:t>Datum:</w:t>
      </w:r>
      <w:r>
        <w:t xml:space="preserve"> 16.04.2026 (eingereicht gleichzeitig mit Eilantrag)</w:t>
      </w:r>
    </w:p>
    <w:p/>
    <w:p>
      <w:pPr>
        <w:pStyle w:val="Heading2"/>
      </w:pPr>
      <w:r>
        <w:rPr>
          <w:rFonts w:ascii="Times New Roman" w:hAnsi="Times New Roman"/>
        </w:rPr>
        <w:t>Formelle Rüge der Sofortvollzugsbegründung</w:t>
      </w:r>
    </w:p>
    <w:p>
      <w:pPr>
        <w:jc w:val="left"/>
      </w:pPr>
      <w:r>
        <w:t>Im vorliegenden Eilantragsverfahren macht die Antragstellerin geltend, dass die Anordnung des Sofortvollzugs im Genehmigungsbescheid des LfU vom 14.03.2026 (Az.: 40.2-LfU-7204-22/26) formell rechtswidrig ist, weil die gem. § 80 Abs. 3 S. 1 VwGO erforderliche einzelfallbezogene schriftliche Begründung fehlt.</w:t>
      </w:r>
    </w:p>
    <w:p>
      <w:pPr>
        <w:jc w:val="left"/>
      </w:pPr>
      <w:r>
        <w:t>Die LfU-Begründung (Bescheid S. 52 f.) lautet auszugsweise:</w:t>
      </w:r>
    </w:p>
    <w:p>
      <w:pPr>
        <w:jc w:val="left"/>
      </w:pPr>
      <w:r>
        <w:rPr>
          <w:i/>
        </w:rPr>
        <w:t>„Die Anordnung der sofortigen Vollziehung ist im überwiegenden öffentlichen Interesse geboten. Der Ausbau erneuerbarer Energien dient der Daseinsvorsorge und hat besonderes öffentliches Gewicht."</w:t>
      </w:r>
    </w:p>
    <w:p>
      <w:pPr>
        <w:jc w:val="left"/>
      </w:pPr>
      <w:r>
        <w:t>Diese Begründung ist nach der ständigen Rechtsprechung des OVG Berlin-Brandenburg (vgl. OVG 11 S 8.19 vom 23.07.2019; OVG 11 S 23.18 vom 23.05.2018) nicht ausreichend, weil sie:</w:t>
      </w:r>
    </w:p>
    <w:p>
      <w:pPr>
        <w:pStyle w:val="ListNumber"/>
      </w:pPr>
      <w:r>
        <w:rPr>
          <w:b/>
        </w:rPr>
        <w:t>Abstrakt-generell</w:t>
      </w:r>
      <w:r>
        <w:t xml:space="preserve"> ist und keine Besonderheiten des Einzelfalls benennt,</w:t>
      </w:r>
    </w:p>
    <w:p>
      <w:pPr>
        <w:pStyle w:val="ListNumber"/>
      </w:pPr>
      <w:r>
        <w:t xml:space="preserve">Keine </w:t>
      </w:r>
      <w:r>
        <w:rPr>
          <w:b/>
        </w:rPr>
        <w:t>Auseinandersetzung mit den konkreten Interessen der Drittbetroffenen</w:t>
      </w:r>
      <w:r>
        <w:t xml:space="preserve"> enthält,</w:t>
      </w:r>
    </w:p>
    <w:p>
      <w:pPr>
        <w:pStyle w:val="ListNumber"/>
      </w:pPr>
      <w:r>
        <w:t xml:space="preserve">Die </w:t>
      </w:r>
      <w:r>
        <w:rPr>
          <w:b/>
        </w:rPr>
        <w:t>Eilbedürftigkeit</w:t>
      </w:r>
      <w:r>
        <w:t xml:space="preserve"> nicht hinreichend begründet (warum ist eine Inbetriebnahme im November 2026 für den Klimaschutz zwingend?),</w:t>
      </w:r>
    </w:p>
    <w:p>
      <w:pPr>
        <w:pStyle w:val="ListNumber"/>
      </w:pPr>
      <w:r>
        <w:t xml:space="preserve">Keine </w:t>
      </w:r>
      <w:r>
        <w:rPr>
          <w:b/>
        </w:rPr>
        <w:t>Prognose</w:t>
      </w:r>
      <w:r>
        <w:t xml:space="preserve"> enthält, dass der durch aufschiebende Wirkung entstehende Schaden für das öffentliche Interesse schwerer wiegt als der Schaden für die Antragsteller.</w:t>
      </w:r>
    </w:p>
    <w:p>
      <w:pPr>
        <w:jc w:val="left"/>
      </w:pPr>
      <w:r>
        <w:t>Die formelle Rechtswidrigkeit hat zur Folge, dass die aufschiebende Wirkung bereits von Amts wegen wiederherzustellen ist, ohne dass es auf die Interessenabwägung ankäme (vgl. OVG Münster, Beschl. v. 17.02.2022, 8 B 1717/21, NVwZ-RR 2022, 567).</w:t>
      </w:r>
    </w:p>
    <w:p>
      <w:pPr>
        <w:jc w:val="left"/>
      </w:pPr>
      <w:r>
        <w:t>Die Antragstellerin beantragt daher, die aufschiebende Wirkung ihrer Klage (4 K 218/26) gegen den Genehmigungsbescheid des LfU vom 14.03.2026 wiederherzustellen.</w:t>
      </w:r>
    </w:p>
    <w:p/>
    <w:p>
      <w:pPr>
        <w:jc w:val="left"/>
      </w:pPr>
      <w:r>
        <w:rPr>
          <w:i/>
        </w:rPr>
        <w:t>Erstellt: 16.04.2026 | Bearbeiter: RA Dr. K. Maaßmann | Akte: WUE-2026/047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