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10 – Rüge: Fehlendes Repowering-Konzept Altanlagen</w:t>
      </w:r>
    </w:p>
    <w:p>
      <w:pPr>
        <w:jc w:val="left"/>
      </w:pPr>
      <w:r>
        <w:rPr>
          <w:b/>
        </w:rPr>
        <w:t>Erstellt von:</w:t>
      </w:r>
      <w:r>
        <w:t xml:space="preserve"> RA Dr. Korbinian Maaßmann</w:t>
      </w:r>
    </w:p>
    <w:p>
      <w:pPr>
        <w:jc w:val="left"/>
      </w:pPr>
      <w:r>
        <w:rPr>
          <w:b/>
        </w:rPr>
        <w:t>Datum:</w:t>
      </w:r>
      <w:r>
        <w:t xml:space="preserve"> 05.04.2026</w:t>
      </w:r>
    </w:p>
    <w:p>
      <w:pPr>
        <w:jc w:val="left"/>
      </w:pPr>
      <w:r>
        <w:rPr>
          <w:b/>
        </w:rPr>
        <w:t>Verfahren:</w:t>
      </w:r>
      <w:r>
        <w:t xml:space="preserve"> 4 K 218/26 (VG Potsdam)</w:t>
      </w:r>
    </w:p>
    <w:p/>
    <w:p>
      <w:pPr>
        <w:pStyle w:val="Heading2"/>
      </w:pPr>
      <w:r>
        <w:rPr>
          <w:rFonts w:ascii="Times New Roman" w:hAnsi="Times New Roman"/>
        </w:rPr>
        <w:t>I. Sachverhalt</w:t>
      </w:r>
    </w:p>
    <w:p>
      <w:pPr>
        <w:jc w:val="left"/>
      </w:pPr>
      <w:r>
        <w:t>Im unmittelbaren Nahbereich des Windparks „Templiner Heide West" befinden sich 7 ältere Windenergieanlagen des Typs ENERCON E-66 (Nabenhöhe 98 m, Rotordurchmesser 66 m, Leistung je 2,0 MW), die seit 2004 im Betrieb sind und als Windpark „Templiner Heide Ost" bezeichnet werden. Diese Anlagen sind seit Januar 2024 über ihre 20-jährige EEG-Vergütungsfrist hinaus (sog. „Post-EEG-Betrieb") und werden ohne Vergütung am Markt betrieben.</w:t>
      </w:r>
    </w:p>
    <w:p/>
    <w:p>
      <w:pPr>
        <w:pStyle w:val="Heading2"/>
      </w:pPr>
      <w:r>
        <w:rPr>
          <w:rFonts w:ascii="Times New Roman" w:hAnsi="Times New Roman"/>
        </w:rPr>
        <w:t>II. Rechtliche Anforderungen an ein Repowering-Konzept</w:t>
      </w:r>
    </w:p>
    <w:p>
      <w:pPr>
        <w:jc w:val="left"/>
      </w:pPr>
      <w:r>
        <w:t>Das BImSchG enthält keine ausdrückliche Pflicht zur Vorlage eines Repowering-Konzepts. Jedoch ergibt sich aus § 6 Abs. 1 Nr. 2 BImSchG (Genehmigungsvoraussetzungen: Vereinbarkeit mit öffentlichem Recht) i.V.m. dem Gebot der Rücksichtnahme (§ 15 BauGB analog, §§ 5 ff. BImSchG) die Verpflichtung, Kumulationseffekte von Alt- und Neuanlagen zu berücksichtigen.</w:t>
      </w:r>
    </w:p>
    <w:p>
      <w:pPr>
        <w:jc w:val="left"/>
      </w:pPr>
      <w:r>
        <w:t>Das OVG Berlin-Brandenburg hat in seiner Entscheidung vom 24.02.2022 (OVG 11 A 18.18) ausgeführt, dass bei unmittelbarer räumlicher Nähe von Bestandsanlagen und neuen WEA die Kumulationswirkungen auch im Genehmigungsverfahren für die neuen Anlagen zu bewerten sind – insbesondere für Schall und Schattenwurf.</w:t>
      </w:r>
    </w:p>
    <w:p/>
    <w:p>
      <w:pPr>
        <w:pStyle w:val="Heading2"/>
      </w:pPr>
      <w:r>
        <w:rPr>
          <w:rFonts w:ascii="Times New Roman" w:hAnsi="Times New Roman"/>
        </w:rPr>
        <w:t>III. Konkrete Rüge</w:t>
      </w:r>
    </w:p>
    <w:p>
      <w:pPr>
        <w:jc w:val="left"/>
      </w:pPr>
      <w:r>
        <w:t>Der Genehmigungsbescheid und das zugrundeliegende Schallgutachten berücksichtigen die Schallimmissionen der 7 Altanlagen (Windpark „Templiner Heide Ost") nicht kumulativ (vgl. Aktenstück 04, Mangel 3). Darüber hinaus enthält der Bescheid keine Auflage oder Nebenbestimmung, die die Abschaltung oder den Rückbau der Altanlagen im Zuge des Repowerings vorschreibt oder sichert.</w:t>
      </w:r>
    </w:p>
    <w:p>
      <w:pPr>
        <w:jc w:val="left"/>
      </w:pPr>
      <w:r>
        <w:t>Die Vorhabenträgerin hatte in einem Pressegespräch (Prenzlauer Zeitung, 15.02.2026) angekündigt, die Altanlagen im Zuge des Neubaus zurückzubauen. Im Genehmigungsverfahren ist diese Zusage jedoch nicht verbindlich gemacht worden. Nach Auskunft der WindEnergie Uckermark GmbH &amp; Co. KG (Schreiben vom 10.03.2026 an das LfU) ist ein „freiwilliger Rückbau erst nach Ablauf der Übergangsphase geplant, frühestens Ende 2028." Damit besteht für einen Zeitraum von mindestens 2 Jahren ein kumulativer Betrieb beider Windparkgruppen.</w:t>
      </w:r>
    </w:p>
    <w:p/>
    <w:p>
      <w:pPr>
        <w:pStyle w:val="Heading2"/>
      </w:pPr>
      <w:r>
        <w:rPr>
          <w:rFonts w:ascii="Times New Roman" w:hAnsi="Times New Roman"/>
        </w:rPr>
        <w:t>IV. Rechtsfolge</w:t>
      </w:r>
    </w:p>
    <w:p>
      <w:pPr>
        <w:jc w:val="left"/>
      </w:pPr>
      <w:r>
        <w:t>Die Nichtberücksichtigung der Kumulationswirkung in der Schallprognose (Mangel 3 in Aktenstück 04) führt dazu, dass die Genehmigungsvoraussetzungen des § 6 Abs. 1 Nr. 1 BImSchG i.V.m. Nr. 3.2.1 TA Lärm nicht erfüllt sind. Der Genehmigungsbescheid ist insoweit rechtswidrig.</w:t>
      </w:r>
    </w:p>
    <w:p>
      <w:pPr>
        <w:jc w:val="left"/>
      </w:pPr>
      <w:r>
        <w:t>Ferner verletzt das Fehlen einer verbindlichen Rückbauauflage das Gebot der Rücksichtnahme gegenüber den Nachbarn (§ 5 Abs. 1 Nr. 1 BImSchG), die durch die kumulierte Dauerbelastung beider Windparkgruppen unzumutbar beeinträchtigt werden.</w:t>
      </w:r>
    </w:p>
    <w:p/>
    <w:p>
      <w:pPr>
        <w:jc w:val="left"/>
      </w:pPr>
      <w:r>
        <w:rPr>
          <w:i/>
        </w:rPr>
        <w:t>Erstellt: 05.04.2026 | Bearbeiter: RA Dr. K. Maaßmann | Akte: WUE-2026/047</w:t>
      </w:r>
    </w:p>
    <w:p>
      <w:pPr>
        <w:jc w:val="left"/>
      </w:pPr>
      <w:r>
        <w:rPr>
          <w:b/>
        </w:rPr>
        <w:t>Quellen:</w:t>
      </w:r>
      <w:r>
        <w:t xml:space="preserve"> OVG Berlin-Brandenburg, Urt. v. 24.02.2022, OVG 11 A 18.18 (openjur.de); § 6 Abs. 1 Nr. 1 BImSchG; Nr. 3.2.1 TA Lärm</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