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14 – Protokoll: Abstimmungsgespräch mit NABU-Kreisgruppe Uckermark</w:t>
      </w:r>
    </w:p>
    <w:p>
      <w:pPr>
        <w:jc w:val="left"/>
      </w:pPr>
      <w:r>
        <w:rPr>
          <w:b/>
        </w:rPr>
        <w:t>Datum:</w:t>
      </w:r>
      <w:r>
        <w:t xml:space="preserve"> 27.03.2026, 14:00–16:30 Uhr</w:t>
      </w:r>
    </w:p>
    <w:p>
      <w:pPr>
        <w:jc w:val="left"/>
      </w:pPr>
      <w:r>
        <w:rPr>
          <w:b/>
        </w:rPr>
        <w:t>Ort:</w:t>
      </w:r>
      <w:r>
        <w:t xml:space="preserve"> Naturschutzzentrum Uckermark, Joachimstraße 12, 17291 Prenzlau</w:t>
      </w:r>
    </w:p>
    <w:p>
      <w:pPr>
        <w:jc w:val="left"/>
      </w:pPr>
      <w:r>
        <w:rPr>
          <w:b/>
        </w:rPr>
        <w:t>Teilnehmende:</w:t>
      </w:r>
    </w:p>
    <w:p>
      <w:pPr>
        <w:pStyle w:val="ListBullet"/>
      </w:pPr>
      <w:r>
        <w:t>RA Dr. Korbinian Maaßmann (Kanzlei Maaßmann)</w:t>
      </w:r>
    </w:p>
    <w:p>
      <w:pPr>
        <w:pStyle w:val="ListBullet"/>
      </w:pPr>
      <w:r>
        <w:t>Dr. Ralf Stickelberger (NABU-Kreisgruppenvorsitzender Uckermark)</w:t>
      </w:r>
    </w:p>
    <w:p>
      <w:pPr>
        <w:pStyle w:val="ListBullet"/>
      </w:pPr>
      <w:r>
        <w:t>Dipl.-Biol. Susanne Fehrenbach (NABU, Referentin Vögelschutz)</w:t>
      </w:r>
    </w:p>
    <w:p>
      <w:pPr>
        <w:pStyle w:val="ListBullet"/>
      </w:pPr>
      <w:r>
        <w:t>Dr. Hiltrud Maashardt (Vorsitzende BI Lebenswerte Uckermark e.V.)</w:t>
      </w:r>
    </w:p>
    <w:p>
      <w:pPr>
        <w:pStyle w:val="ListBullet"/>
      </w:pPr>
      <w:r>
        <w:t>Tobias Brüggemann (Stv. Vorsitzender BI)</w:t>
      </w:r>
    </w:p>
    <w:p/>
    <w:p>
      <w:pPr>
        <w:pStyle w:val="Heading2"/>
      </w:pPr>
      <w:r>
        <w:rPr>
          <w:rFonts w:ascii="Times New Roman" w:hAnsi="Times New Roman"/>
        </w:rPr>
        <w:t>I. Gesprächsverlauf</w:t>
      </w:r>
    </w:p>
    <w:p>
      <w:pPr>
        <w:pStyle w:val="Heading3"/>
      </w:pPr>
      <w:r>
        <w:rPr>
          <w:rFonts w:ascii="Times New Roman" w:hAnsi="Times New Roman"/>
        </w:rPr>
        <w:t>1. Rotmilan-Horst</w:t>
      </w:r>
    </w:p>
    <w:p>
      <w:pPr>
        <w:jc w:val="left"/>
      </w:pPr>
      <w:r>
        <w:t>Dr. Stickelberger berichtet über den Horst-Fund vom 20.03.2026: Ein aktiv besetzter Rotmilan-Horst wurde in einem Waldstück nordöstlich von Templin (Koordinaten: 53°07'12" N, 13°22'34" O) identifiziert. Das Paar zeigte Brutverhalten; ein Ei soll nach Fernglas-Beobachtung vorhanden sein.</w:t>
      </w:r>
    </w:p>
    <w:p>
      <w:pPr>
        <w:jc w:val="left"/>
      </w:pPr>
      <w:r>
        <w:t>Dipl.-Biol. Fehrenbach ergänzt: Der Horst war 2021 bei der NABU-Brutvogelkartierung noch nicht besetzt. 2022 (Kartierungsjahr der saP) wurde er vom NaturaConsult-Team offenbar übersehen. 2023 und 2024 wurde er von der NABU-Kreisgruppe als besetzt dokumentiert (NABU-Meldebogen, Kopie als Anlage).</w:t>
      </w:r>
    </w:p>
    <w:p>
      <w:pPr>
        <w:jc w:val="left"/>
      </w:pPr>
      <w:r>
        <w:rPr>
          <w:b/>
        </w:rPr>
        <w:t>Handlungspunkte:</w:t>
      </w:r>
    </w:p>
    <w:p>
      <w:pPr>
        <w:pStyle w:val="ListBullet"/>
      </w:pPr>
      <w:r>
        <w:t>NABU stellt Dr. Maaßmann die Kartierungsdaten 2021–2024 zur Verfügung (Übergabe bis 30.03.2026).</w:t>
      </w:r>
    </w:p>
    <w:p>
      <w:pPr>
        <w:pStyle w:val="ListBullet"/>
      </w:pPr>
      <w:r>
        <w:t>Dr. Stickelberger erklärt sich bereit, als sachverständiger Zeuge im Verfahren auszusagen.</w:t>
      </w:r>
    </w:p>
    <w:p>
      <w:pPr>
        <w:pStyle w:val="ListBullet"/>
      </w:pPr>
      <w:r>
        <w:t>NABU prüft eigene Klagebefugnis als nach § 3 UmwRG anerkannte Vereinigung.</w:t>
      </w:r>
    </w:p>
    <w:p>
      <w:pPr>
        <w:pStyle w:val="Heading3"/>
      </w:pPr>
      <w:r>
        <w:rPr>
          <w:rFonts w:ascii="Times New Roman" w:hAnsi="Times New Roman"/>
        </w:rPr>
        <w:t>2. Planfeststellungsverfahren 50Hertz</w:t>
      </w:r>
    </w:p>
    <w:p>
      <w:pPr>
        <w:jc w:val="left"/>
      </w:pPr>
      <w:r>
        <w:t>Dr. Maaßmann erläutert den Zusammenhang mit dem 50Hertz-Planfeststellungsverfahren. Der NABU hat bereits Einwendungen im Scopingtermin (Oktober 2025) eingebracht. Koordination der Einwendungen soll in einem Folgetreffen abgestimmt werden.</w:t>
      </w:r>
    </w:p>
    <w:p>
      <w:pPr>
        <w:pStyle w:val="Heading3"/>
      </w:pPr>
      <w:r>
        <w:rPr>
          <w:rFonts w:ascii="Times New Roman" w:hAnsi="Times New Roman"/>
        </w:rPr>
        <w:t>3. Gegengutachten Artenschutz</w:t>
      </w:r>
    </w:p>
    <w:p>
      <w:pPr>
        <w:jc w:val="left"/>
      </w:pPr>
      <w:r>
        <w:t>NABU wird Prof. Dr. Elisabeth Krüger (Uni Potsdam) ansprechen, ob sie ein ornithologisches Gegengutachten erstellen kann. Kosten teilen BI (60 %) und NABU (40 %). Kostenrahmen: bis 12.000 EUR netto.</w:t>
      </w:r>
    </w:p>
    <w:p>
      <w:pPr>
        <w:pStyle w:val="Heading3"/>
      </w:pPr>
      <w:r>
        <w:rPr>
          <w:rFonts w:ascii="Times New Roman" w:hAnsi="Times New Roman"/>
        </w:rPr>
        <w:t>4. Öffentlichkeitsarbeit</w:t>
      </w:r>
    </w:p>
    <w:p>
      <w:pPr>
        <w:jc w:val="left"/>
      </w:pPr>
      <w:r>
        <w:t>Einigkeit darüber, dass die Öffentlichkeitsarbeit koordiniert werden soll:</w:t>
      </w:r>
    </w:p>
    <w:p>
      <w:pPr>
        <w:pStyle w:val="ListBullet"/>
      </w:pPr>
      <w:r>
        <w:t>Gemeinsame Pressemitteilung nach Klageerhebung (aber kein Vorwegnehmen)</w:t>
      </w:r>
    </w:p>
    <w:p>
      <w:pPr>
        <w:pStyle w:val="ListBullet"/>
      </w:pPr>
      <w:r>
        <w:t>Infoabend in Templin geplant (15.04.2026)</w:t>
      </w:r>
    </w:p>
    <w:p>
      <w:pPr>
        <w:pStyle w:val="ListBullet"/>
      </w:pPr>
      <w:r>
        <w:t>Keine Aussagen über Erfolgsaussichten in der Presse (Anweisung RA Dr. Maaßmann)</w:t>
      </w:r>
    </w:p>
    <w:p/>
    <w:p>
      <w:pPr>
        <w:pStyle w:val="Heading2"/>
      </w:pPr>
      <w:r>
        <w:rPr>
          <w:rFonts w:ascii="Times New Roman" w:hAnsi="Times New Roman"/>
        </w:rPr>
        <w:t>II. Nächste Schritte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Termin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Übergabe NABU-Kartierungsdaten 2021–2024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Stickelberger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30.03.2026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Beauftragung Gegengutachten Prof. Krüger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Maaßmann + NABU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Klageerhebung und Eilantrag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Dr. Maaßmann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16.04.2026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Infoabend Templin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 (Dr. Maashardt)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Folgeabstimmung 50Hertz-Verfahren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20.04.2026</w:t>
            </w:r>
          </w:p>
        </w:tc>
      </w:tr>
    </w:tbl>
    <w:p/>
    <w:p>
      <w:pPr>
        <w:jc w:val="left"/>
      </w:pPr>
      <w:r>
        <w:rPr>
          <w:i/>
        </w:rPr>
        <w:t>Protokolliert: RA Dr. K. Maaßmann | Datum: 27.03.2026 | Akte: WUE-2026/047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