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Rechtslage Drittanfechtung Umwelt (§ 5 BImSchG, Schutznormtheorie)</w:t>
      </w:r>
    </w:p>
    <w:p>
      <w:pPr>
        <w:jc w:val="left"/>
      </w:pPr>
      <w:r>
        <w:rPr>
          <w:b/>
        </w:rPr>
        <w:t>Erstellt von:</w:t>
      </w:r>
      <w:r>
        <w:t xml:space="preserve"> RA Dr. Korbinian Maaßmann</w:t>
      </w:r>
    </w:p>
    <w:p>
      <w:pPr>
        <w:jc w:val="left"/>
      </w:pPr>
      <w:r>
        <w:rPr>
          <w:b/>
        </w:rPr>
        <w:t>Datum:</w:t>
      </w:r>
      <w:r>
        <w:t xml:space="preserve"> 02.04.2026</w:t>
      </w:r>
    </w:p>
    <w:p>
      <w:pPr>
        <w:jc w:val="left"/>
      </w:pPr>
      <w:r>
        <w:rPr>
          <w:b/>
        </w:rPr>
        <w:t>Verfahren:</w:t>
      </w:r>
      <w:r>
        <w:t xml:space="preserve"> 4 K 218/26 (VG Potsdam)</w:t>
      </w:r>
    </w:p>
    <w:p/>
    <w:p>
      <w:pPr>
        <w:pStyle w:val="Heading2"/>
      </w:pPr>
      <w:r>
        <w:rPr>
          <w:rFonts w:ascii="Times New Roman" w:hAnsi="Times New Roman"/>
        </w:rPr>
        <w:t>I. Drittschützende Normen im BImSchG</w:t>
      </w:r>
    </w:p>
    <w:p>
      <w:pPr>
        <w:pStyle w:val="Heading3"/>
      </w:pPr>
      <w:r>
        <w:rPr>
          <w:rFonts w:ascii="Times New Roman" w:hAnsi="Times New Roman"/>
        </w:rPr>
        <w:t>1. § 5 Abs. 1 Nr. 1 BImSchG</w:t>
      </w:r>
    </w:p>
    <w:p>
      <w:pPr>
        <w:jc w:val="left"/>
      </w:pPr>
      <w:r>
        <w:t>Die Vorschrift verpflichtet den Betreiber einer Anlage, diese so zu errichten und zu betreiben, dass schädliche Umwelteinwirkungen und sonstige Gefahren, erhebliche Nachteile und erhebliche Belästigungen für die Allgemeinheit und die Nachbarschaft nicht hervorgerufen werden können.</w:t>
      </w:r>
    </w:p>
    <w:p>
      <w:pPr>
        <w:jc w:val="left"/>
      </w:pPr>
      <w:r>
        <w:t xml:space="preserve">Nach ständiger Rechtsprechung des BVerwG (Urt. v. 22.10.2015, 7 C 15.13, juris Rdnr. 16 ff.; BVerwGE 144, 1) ist § 5 Abs. 1 Nr. 1 BImSchG </w:t>
      </w:r>
      <w:r>
        <w:rPr>
          <w:b/>
        </w:rPr>
        <w:t>drittschützend</w:t>
      </w:r>
      <w:r>
        <w:t xml:space="preserve"> zugunsten der von schädlichen Umwelteinwirkungen betroffenen Nachbarschaft. Der Begriff „Nachbarschaft" umfasst alle natürlichen und juristischen Personen, die durch den Anlagenbetrieb immissionsmäßig beeinträchtigt werden, auch wenn sie nicht im Einwirkungsbereich der Anlage im technischen Sinne wohnen.</w:t>
      </w:r>
    </w:p>
    <w:p>
      <w:pPr>
        <w:pStyle w:val="Heading3"/>
      </w:pPr>
      <w:r>
        <w:rPr>
          <w:rFonts w:ascii="Times New Roman" w:hAnsi="Times New Roman"/>
        </w:rPr>
        <w:t>2. Schutznormtheorie</w:t>
      </w:r>
    </w:p>
    <w:p>
      <w:pPr>
        <w:jc w:val="left"/>
      </w:pPr>
      <w:r>
        <w:t>Die Schutznormtheorie besagt, dass ein Kläger im Verwaltungsprozess nur dann klagebefugt ist, wenn die anzuwendende Norm nicht nur dem öffentlichen Interesse, sondern auch dem Schutz individueller Interessen dient (BVerwGE 107, 215, 218). Bei § 5 Abs. 1 Nr. 1 BImSchG ist der Drittschutz ausdrücklich verankert durch die Formulierung „Nachbarschaft". Die Betroffenheit der Kläger Dr. Maashardt (412 m) und Brüggemann (730 m) ist für eine WEA mit 246 m Gesamthöhe nach der saP-Prüfung der Schallprognose überwiegend wahrscheinlich.</w:t>
      </w:r>
    </w:p>
    <w:p/>
    <w:p>
      <w:pPr>
        <w:pStyle w:val="Heading2"/>
      </w:pPr>
      <w:r>
        <w:rPr>
          <w:rFonts w:ascii="Times New Roman" w:hAnsi="Times New Roman"/>
        </w:rPr>
        <w:t>II. Umfang des Drittschutzes</w:t>
      </w:r>
    </w:p>
    <w:p>
      <w:pPr>
        <w:pStyle w:val="Heading3"/>
      </w:pPr>
      <w:r>
        <w:rPr>
          <w:rFonts w:ascii="Times New Roman" w:hAnsi="Times New Roman"/>
        </w:rPr>
        <w:t>1. Schall (§ 5 Abs. 1 Nr. 1 BImSchG i.V.m. TA Lärm)</w:t>
      </w:r>
    </w:p>
    <w:p>
      <w:pPr>
        <w:jc w:val="left"/>
      </w:pPr>
      <w:r>
        <w:t xml:space="preserve">Drittschützend sind die Lärmgrenzwerte der TA Lärm (Nr. 6.1). Der Nachbar hat einen </w:t>
      </w:r>
      <w:r>
        <w:rPr>
          <w:b/>
        </w:rPr>
        <w:t>subjektiven öffentlichen Rechtsanspruch</w:t>
      </w:r>
      <w:r>
        <w:t xml:space="preserve"> auf Einhaltung der Immissionsrichtwerte. Wird der Richtwert überschritten, ist der Bescheid aufzuheben, soweit er zur Überschreitung führt.</w:t>
      </w:r>
    </w:p>
    <w:p>
      <w:pPr>
        <w:pStyle w:val="Heading3"/>
      </w:pPr>
      <w:r>
        <w:rPr>
          <w:rFonts w:ascii="Times New Roman" w:hAnsi="Times New Roman"/>
        </w:rPr>
        <w:t>2. Schattenwurf</w:t>
      </w:r>
    </w:p>
    <w:p>
      <w:pPr>
        <w:jc w:val="left"/>
      </w:pPr>
      <w:r>
        <w:t>Für Schattenwurf gilt kein ausdrücklicher gesetzlicher Grenzwert. Die LAI-Orientierungswerte (30 h/a tatsächliche Beschattung, 30 min/d) sind norminterpretatorischer Natur. Nach der Rechtsprechung des OVG Schleswig-Holstein (Urt. v. 28.02.2019, 4 LB 6/17) und des VGH Bayern (Urt. v. 18.07.2019, 22 BV 18.2402) gilt eine Beschattung über 30 h/a als unzumutbar, wobei eine Einzelfallprüfung erforderlich ist. Die berechneten 34,2 h/a (nach Korrektur, s. Aktenstück 04) übersteigen den Orientierungswert.</w:t>
      </w:r>
    </w:p>
    <w:p>
      <w:pPr>
        <w:pStyle w:val="Heading3"/>
      </w:pPr>
      <w:r>
        <w:rPr>
          <w:rFonts w:ascii="Times New Roman" w:hAnsi="Times New Roman"/>
        </w:rPr>
        <w:t>3. Optische Bedrängung (Umzingelungseffekt)</w:t>
      </w:r>
    </w:p>
    <w:p>
      <w:pPr>
        <w:jc w:val="left"/>
      </w:pPr>
      <w:r>
        <w:t>Die Rechtsprechung zum Umzingelungseffekt bei WEA ist restriktiv. Das BVerwG (Beschl. v. 11.12.2006, 4 B 72.06) hat die Figur der „optischen Bedrängnis" als eigenständigen Klagegrund abgelehnt; sie kann allenfalls mittelbar über das Rücksichtnahmegebot (§ 35 Abs. 3 BauGB) oder als Wertminderungsaspekt bei der Verhältnismäßigkeit relevant werden. Die BI wird diesen Aspekt nicht hauptsächlich verfolgen, sondern als Ergänzungsargument beibehalten.</w:t>
      </w:r>
    </w:p>
    <w:p/>
    <w:p>
      <w:pPr>
        <w:pStyle w:val="Heading2"/>
      </w:pPr>
      <w:r>
        <w:rPr>
          <w:rFonts w:ascii="Times New Roman" w:hAnsi="Times New Roman"/>
        </w:rPr>
        <w:t>III. Beiladung (§ 65 VwGO)</w:t>
      </w:r>
    </w:p>
    <w:p>
      <w:pPr>
        <w:jc w:val="left"/>
      </w:pPr>
      <w:r>
        <w:t>Die Vorhabenträgerin WindEnergie Uckermark GmbH &amp; Co. KG ist als Inhaberin der angefochtenen Genehmigung notwendig beizuladen (§ 65 Abs. 2 VwGO). Das LfU ist Beklagter. Die Beiladung muss vom Gericht von Amts wegen ausgesprochen werden; eine entsprechende Anregung wird in der Klageschrift aufgenommen.</w:t>
      </w:r>
    </w:p>
    <w:p/>
    <w:p>
      <w:pPr>
        <w:jc w:val="left"/>
      </w:pPr>
      <w:r>
        <w:rPr>
          <w:i/>
        </w:rPr>
        <w:t>Erstellt: 02.04.2026 | Bearbeiter: RA Dr. K. Maaßmann | Akte: WUE-2026/047</w:t>
      </w:r>
    </w:p>
    <w:p>
      <w:pPr>
        <w:jc w:val="left"/>
      </w:pPr>
      <w:r>
        <w:rPr>
          <w:b/>
        </w:rPr>
        <w:t>Quellen:</w:t>
      </w:r>
      <w:r>
        <w:t xml:space="preserve"> BVerwGE 107, 215; BVerwGE 144, 1 (dejure.org); OVG Schleswig-Holstein, Urt. v. 28.02.2019, 4 LB 6/17; VGH Bayern, Urt. v. 18.07.2019, 22 BV 18.2402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