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Streitwert und Kostennotiz</w:t>
      </w:r>
    </w:p>
    <w:p>
      <w:pPr>
        <w:jc w:val="left"/>
      </w:pPr>
      <w:r>
        <w:rPr>
          <w:b/>
        </w:rPr>
        <w:t>Erstellt von:</w:t>
      </w:r>
      <w:r>
        <w:t xml:space="preserve"> RA Dr. Korbinian Maaßmann</w:t>
      </w:r>
    </w:p>
    <w:p>
      <w:pPr>
        <w:jc w:val="left"/>
      </w:pPr>
      <w:r>
        <w:rPr>
          <w:b/>
        </w:rPr>
        <w:t>Datum:</w:t>
      </w:r>
      <w:r>
        <w:t xml:space="preserve"> 10.04.2026</w:t>
      </w:r>
    </w:p>
    <w:p>
      <w:pPr>
        <w:jc w:val="left"/>
      </w:pPr>
      <w:r>
        <w:rPr>
          <w:b/>
        </w:rPr>
        <w:t>Verfahren:</w:t>
      </w:r>
      <w:r>
        <w:t xml:space="preserve"> 4 K 218/26 / 4 L 89/26 / OVG 2 A 18.26</w:t>
      </w:r>
    </w:p>
    <w:p/>
    <w:p>
      <w:pPr>
        <w:pStyle w:val="Heading2"/>
      </w:pPr>
      <w:r>
        <w:rPr>
          <w:rFonts w:ascii="Times New Roman" w:hAnsi="Times New Roman"/>
        </w:rPr>
        <w:t>I. Streitwert Anfechtungsklage (4 K 218/26)</w:t>
      </w:r>
    </w:p>
    <w:p>
      <w:pPr>
        <w:pStyle w:val="Heading3"/>
      </w:pPr>
      <w:r>
        <w:rPr>
          <w:rFonts w:ascii="Times New Roman" w:hAnsi="Times New Roman"/>
        </w:rPr>
        <w:t>Maßstab</w:t>
      </w:r>
    </w:p>
    <w:p>
      <w:pPr>
        <w:jc w:val="left"/>
      </w:pPr>
      <w:r>
        <w:t>Nach § 52 Abs. 1 GKG richtet sich der Streitwert nach der Bedeutung der Sache für den Kläger. In Nachbarklagen gegen immissionsschutzrechtliche Genehmigungen für WEA orientieren sich die VG an den wirtschaftlichen Auswirkungen für die Kläger sowie der Größe des Vorhabens.</w:t>
      </w:r>
    </w:p>
    <w:p>
      <w:pPr>
        <w:pStyle w:val="Heading3"/>
      </w:pPr>
      <w:r>
        <w:rPr>
          <w:rFonts w:ascii="Times New Roman" w:hAnsi="Times New Roman"/>
        </w:rPr>
        <w:t>Streitwertansätze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Kläger</w:t>
            </w:r>
          </w:p>
        </w:tc>
        <w:tc>
          <w:tcPr>
            <w:tcW w:type="dxa" w:w="3024"/>
          </w:tcPr>
          <w:p>
            <w:r>
              <w:rPr>
                <w:rFonts w:ascii="Times New Roman" w:hAnsi="Times New Roman"/>
                <w:b/>
                <w:sz w:val="20"/>
              </w:rPr>
              <w:t>Streitwertanteil</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BI Lebenswerte Uckermark e.V.</w:t>
            </w:r>
          </w:p>
        </w:tc>
        <w:tc>
          <w:tcPr>
            <w:tcW w:type="dxa" w:w="3024"/>
          </w:tcPr>
          <w:p>
            <w:r>
              <w:rPr>
                <w:rFonts w:ascii="Times New Roman" w:hAnsi="Times New Roman"/>
                <w:sz w:val="20"/>
              </w:rPr>
              <w:t>100.000 EUR</w:t>
            </w:r>
          </w:p>
        </w:tc>
        <w:tc>
          <w:tcPr>
            <w:tcW w:type="dxa" w:w="3024"/>
          </w:tcPr>
          <w:p>
            <w:r>
              <w:rPr>
                <w:rFonts w:ascii="Times New Roman" w:hAnsi="Times New Roman"/>
                <w:sz w:val="20"/>
              </w:rPr>
              <w:t>Verbandsklage, 247 Mitglieder, Vorhabenvolumen ca. 80 Mio. EUR</w:t>
            </w:r>
          </w:p>
        </w:tc>
      </w:tr>
      <w:tr>
        <w:tc>
          <w:tcPr>
            <w:tcW w:type="dxa" w:w="3024"/>
          </w:tcPr>
          <w:p>
            <w:r>
              <w:rPr>
                <w:rFonts w:ascii="Times New Roman" w:hAnsi="Times New Roman"/>
                <w:sz w:val="20"/>
              </w:rPr>
              <w:t>Dr. Hiltrud Maashardt</w:t>
            </w:r>
          </w:p>
        </w:tc>
        <w:tc>
          <w:tcPr>
            <w:tcW w:type="dxa" w:w="3024"/>
          </w:tcPr>
          <w:p>
            <w:r>
              <w:rPr>
                <w:rFonts w:ascii="Times New Roman" w:hAnsi="Times New Roman"/>
                <w:sz w:val="20"/>
              </w:rPr>
              <w:t>60.000 EUR</w:t>
            </w:r>
          </w:p>
        </w:tc>
        <w:tc>
          <w:tcPr>
            <w:tcW w:type="dxa" w:w="3024"/>
          </w:tcPr>
          <w:p>
            <w:r>
              <w:rPr>
                <w:rFonts w:ascii="Times New Roman" w:hAnsi="Times New Roman"/>
                <w:sz w:val="20"/>
              </w:rPr>
              <w:t>Unmittelbare Nachbarin (412 m), Grundstücksentwertung geschätzt 40.000 EUR</w:t>
            </w:r>
          </w:p>
        </w:tc>
      </w:tr>
      <w:tr>
        <w:tc>
          <w:tcPr>
            <w:tcW w:type="dxa" w:w="3024"/>
          </w:tcPr>
          <w:p>
            <w:r>
              <w:rPr>
                <w:rFonts w:ascii="Times New Roman" w:hAnsi="Times New Roman"/>
                <w:sz w:val="20"/>
              </w:rPr>
              <w:t>Tobias Brüggemann</w:t>
            </w:r>
          </w:p>
        </w:tc>
        <w:tc>
          <w:tcPr>
            <w:tcW w:type="dxa" w:w="3024"/>
          </w:tcPr>
          <w:p>
            <w:r>
              <w:rPr>
                <w:rFonts w:ascii="Times New Roman" w:hAnsi="Times New Roman"/>
                <w:sz w:val="20"/>
              </w:rPr>
              <w:t>50.000 EUR</w:t>
            </w:r>
          </w:p>
        </w:tc>
        <w:tc>
          <w:tcPr>
            <w:tcW w:type="dxa" w:w="3024"/>
          </w:tcPr>
          <w:p>
            <w:r>
              <w:rPr>
                <w:rFonts w:ascii="Times New Roman" w:hAnsi="Times New Roman"/>
                <w:sz w:val="20"/>
              </w:rPr>
              <w:t>Betrieblicher Schaden, Wohnimmission (730 m)</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210.000 EUR</w:t>
            </w:r>
          </w:p>
        </w:tc>
        <w:tc>
          <w:tcPr>
            <w:tcW w:type="dxa" w:w="3024"/>
          </w:tcPr>
          <w:p>
            <w:r>
              <w:rPr>
                <w:rFonts w:ascii="Times New Roman" w:hAnsi="Times New Roman"/>
                <w:sz w:val="20"/>
              </w:rPr>
              <w:t>Streitwertaddition gem. § 39 GKG</w:t>
            </w:r>
          </w:p>
        </w:tc>
      </w:tr>
    </w:tbl>
    <w:p>
      <w:pPr>
        <w:jc w:val="left"/>
      </w:pPr>
      <w:r>
        <w:t>Nach dem Streitwert-Katalog des VG Potsdam (interner Hinweis, Stand 2024) werden WEA-Drittanfechtungen typischerweise mit 60.000–120.000 EUR je Anlage bewertet; hier 5 Anlagen = möglicher Gesamtstreitwert bis 600.000 EUR nach Vorhabenträgerperspektive. Realistischer Ansatz bei Drittklage: 210.000 EUR.</w:t>
      </w:r>
    </w:p>
    <w:p>
      <w:pPr>
        <w:pStyle w:val="Heading3"/>
      </w:pPr>
      <w:r>
        <w:rPr>
          <w:rFonts w:ascii="Times New Roman" w:hAnsi="Times New Roman"/>
        </w:rPr>
        <w:t>Gerichtskosten bei Streitwert 210.000 EUR</w:t>
      </w:r>
    </w:p>
    <w:p>
      <w:pPr>
        <w:jc w:val="left"/>
      </w:pPr>
      <w:r>
        <w:t>3,0-facher Gebührensatz (Verfahren bis Urteil ohne Berufung):</w:t>
      </w:r>
    </w:p>
    <w:p>
      <w:pPr>
        <w:pStyle w:val="ListBullet"/>
      </w:pPr>
      <w:r>
        <w:t>Gerichtsgebühren: ca. 6.858 EUR (Gebührentabelle Anlage 2 GKG)</w:t>
      </w:r>
    </w:p>
    <w:p/>
    <w:p>
      <w:pPr>
        <w:pStyle w:val="Heading2"/>
      </w:pPr>
      <w:r>
        <w:rPr>
          <w:rFonts w:ascii="Times New Roman" w:hAnsi="Times New Roman"/>
        </w:rPr>
        <w:t>II. Streitwert Eilantrag (4 L 89/26)</w:t>
      </w:r>
    </w:p>
    <w:p>
      <w:pPr>
        <w:jc w:val="left"/>
      </w:pPr>
      <w:r>
        <w:t xml:space="preserve">§ 53 Abs. 2 Nr. 2 GKG: 1/4 bis 1/2 des Hauptsachestreitwerts = </w:t>
      </w:r>
      <w:r>
        <w:rPr>
          <w:b/>
        </w:rPr>
        <w:t>26.250–52.500 EUR</w:t>
      </w:r>
      <w:r>
        <w:t xml:space="preserve"> (Ansatz: 1/4 = 52.500 EUR)</w:t>
      </w:r>
    </w:p>
    <w:p/>
    <w:p>
      <w:pPr>
        <w:pStyle w:val="Heading2"/>
      </w:pPr>
      <w:r>
        <w:rPr>
          <w:rFonts w:ascii="Times New Roman" w:hAnsi="Times New Roman"/>
        </w:rPr>
        <w:t>III. Streitwert Normenkontrolle OVG (OVG 2 A 18.26)</w:t>
      </w:r>
    </w:p>
    <w:p>
      <w:pPr>
        <w:jc w:val="left"/>
      </w:pPr>
      <w:r>
        <w:t xml:space="preserve">§ 52 Abs. 1 GKG. Normenkontrollanträge gegen Regionalpläne: 20.000–60.000 EUR (Orientierung an OVG Berlin-Brandenburg-Praxis). Ansatz: </w:t>
      </w:r>
      <w:r>
        <w:rPr>
          <w:b/>
        </w:rPr>
        <w:t>30.000 EUR</w:t>
      </w:r>
      <w:r>
        <w:t xml:space="preserve"> (konservativ, wegen Fristproblem).</w:t>
      </w:r>
    </w:p>
    <w:p/>
    <w:p>
      <w:pPr>
        <w:pStyle w:val="Heading2"/>
      </w:pPr>
      <w:r>
        <w:rPr>
          <w:rFonts w:ascii="Times New Roman" w:hAnsi="Times New Roman"/>
        </w:rPr>
        <w:t>IV. Vergütungsnotiz</w:t>
      </w:r>
    </w:p>
    <w:p>
      <w:pPr>
        <w:pStyle w:val="Heading3"/>
      </w:pPr>
      <w:r>
        <w:rPr>
          <w:rFonts w:ascii="Times New Roman" w:hAnsi="Times New Roman"/>
        </w:rPr>
        <w:t>Anfechtungsklage (4 K 218/26)</w:t>
      </w:r>
    </w:p>
    <w:p>
      <w:pPr>
        <w:pStyle w:val="ListBullet"/>
      </w:pPr>
      <w:r>
        <w:t>1,3-Verfahrensgebühr (Nr. 3100 VV RVG) bei Streitwert 210.000 EUR: ca. 3.762 EUR netto</w:t>
      </w:r>
    </w:p>
    <w:p>
      <w:pPr>
        <w:pStyle w:val="ListBullet"/>
      </w:pPr>
      <w:r>
        <w:t>1,2-Terminsgebühr (Nr. 3104 VV RVG): ca. 3.472 EUR netto</w:t>
      </w:r>
    </w:p>
    <w:p>
      <w:pPr>
        <w:pStyle w:val="ListBullet"/>
      </w:pPr>
      <w:r>
        <w:t>Post- und Telekommunikation (Nr. 7002 VV RVG): 20 EUR</w:t>
      </w:r>
    </w:p>
    <w:p>
      <w:pPr>
        <w:pStyle w:val="ListBullet"/>
      </w:pPr>
      <w:r>
        <w:t>Reisekosten VG Potsdam: ca. 50 EUR</w:t>
      </w:r>
    </w:p>
    <w:p>
      <w:pPr>
        <w:pStyle w:val="ListBullet"/>
      </w:pPr>
      <w:r>
        <w:rPr>
          <w:b/>
        </w:rPr>
        <w:t>Zwischensumme:</w:t>
      </w:r>
      <w:r>
        <w:t xml:space="preserve"> ca. 7.304 EUR netto + 19 % MwSt = ca. 8.692 EUR brutto</w:t>
      </w:r>
    </w:p>
    <w:p>
      <w:pPr>
        <w:pStyle w:val="Heading3"/>
      </w:pPr>
      <w:r>
        <w:rPr>
          <w:rFonts w:ascii="Times New Roman" w:hAnsi="Times New Roman"/>
        </w:rPr>
        <w:t>Eilantrag (4 L 89/26)</w:t>
      </w:r>
    </w:p>
    <w:p>
      <w:pPr>
        <w:pStyle w:val="ListBullet"/>
      </w:pPr>
      <w:r>
        <w:t>1,3-Verfahrensgebühr bei Streitwert 52.500 EUR: ca. 1.579 EUR netto</w:t>
      </w:r>
    </w:p>
    <w:p>
      <w:pPr>
        <w:pStyle w:val="ListBullet"/>
      </w:pPr>
      <w:r>
        <w:t>Terminsgebühr (wenn mündliche Anhörung): ca. 1.459 EUR netto</w:t>
      </w:r>
    </w:p>
    <w:p>
      <w:pPr>
        <w:pStyle w:val="ListBullet"/>
      </w:pPr>
      <w:r>
        <w:rPr>
          <w:b/>
        </w:rPr>
        <w:t>Zwischensumme:</w:t>
      </w:r>
      <w:r>
        <w:t xml:space="preserve"> ca. 3.058 EUR netto + MwSt</w:t>
      </w:r>
    </w:p>
    <w:p>
      <w:pPr>
        <w:pStyle w:val="Heading3"/>
      </w:pPr>
      <w:r>
        <w:rPr>
          <w:rFonts w:ascii="Times New Roman" w:hAnsi="Times New Roman"/>
        </w:rPr>
        <w:t>Normenkontrolle OVG (OVG 2 A 18.26)</w:t>
      </w:r>
    </w:p>
    <w:p>
      <w:pPr>
        <w:pStyle w:val="ListBullet"/>
      </w:pPr>
      <w:r>
        <w:t>1,3-Verfahrensgebühr bei Streitwert 30.000 EUR: ca. 1.139 EUR netto</w:t>
      </w:r>
    </w:p>
    <w:p>
      <w:pPr>
        <w:pStyle w:val="ListBullet"/>
      </w:pPr>
      <w:r>
        <w:t>Terminsgebühr: ca. 1.054 EUR netto</w:t>
      </w:r>
    </w:p>
    <w:p>
      <w:pPr>
        <w:pStyle w:val="ListBullet"/>
      </w:pPr>
      <w:r>
        <w:rPr>
          <w:b/>
        </w:rPr>
        <w:t>Zwischensumme:</w:t>
      </w:r>
      <w:r>
        <w:t xml:space="preserve"> ca. 2.193 EUR netto + MwSt</w:t>
      </w:r>
    </w:p>
    <w:p>
      <w:pPr>
        <w:pStyle w:val="Heading3"/>
      </w:pPr>
      <w:r>
        <w:rPr>
          <w:rFonts w:ascii="Times New Roman" w:hAnsi="Times New Roman"/>
        </w:rPr>
        <w:t>Sachverständigenkosten (extern)</w:t>
      </w:r>
    </w:p>
    <w:p>
      <w:pPr>
        <w:pStyle w:val="ListBullet"/>
      </w:pPr>
      <w:r>
        <w:t>Gegengutachten Schall (Riedering): 8.000 EUR netto</w:t>
      </w:r>
    </w:p>
    <w:p>
      <w:pPr>
        <w:pStyle w:val="ListBullet"/>
      </w:pPr>
      <w:r>
        <w:t>Gegengutachten Artenschutz (Prof. Krüger): 7.200 EUR netto (BI-Anteil 60 % = 4.320 EUR)</w:t>
      </w:r>
    </w:p>
    <w:p>
      <w:pPr>
        <w:pStyle w:val="ListBullet"/>
      </w:pPr>
      <w:r>
        <w:t>Ornithologisches Monitoring Rotmilan: 3.600 EUR netto</w:t>
      </w:r>
    </w:p>
    <w:p>
      <w:pPr>
        <w:jc w:val="left"/>
      </w:pPr>
      <w:r>
        <w:rPr>
          <w:b/>
        </w:rPr>
        <w:t>Gesamtbudget (Schätzung):</w:t>
      </w:r>
      <w:r>
        <w:t xml:space="preserve"> ca. 35.000–40.000 EUR inkl. MwSt.</w:t>
      </w:r>
    </w:p>
    <w:p/>
    <w:p>
      <w:pPr>
        <w:pStyle w:val="Heading2"/>
      </w:pPr>
      <w:r>
        <w:rPr>
          <w:rFonts w:ascii="Times New Roman" w:hAnsi="Times New Roman"/>
        </w:rPr>
        <w:t>V. Kostenrisiko</w:t>
      </w:r>
    </w:p>
    <w:p>
      <w:pPr>
        <w:jc w:val="left"/>
      </w:pPr>
      <w:r>
        <w:t>Im Unterliegen-Falle trägt die BI (anteilig) die Gerichts- und Anwaltskosten der Gegenseite. Bei 3 Beteiligten auf Beklagtenseite (LfU, Vorhabenträgerin, ggf. weitere Beigeladene) kann das Kostenrisiko bei Unterliegen auf ca. 25.000–35.000 EUR steigen. Prozesskostenversicherung der BI: nicht vorhanden. Eigenkapital BI: 28.000 EUR (Jahresabschluss 2025). Mitglieder wurden über Kostenrisiko informiert (Mitgliederversammlung 21.03.2026).</w:t>
      </w:r>
    </w:p>
    <w:p/>
    <w:p>
      <w:pPr>
        <w:jc w:val="left"/>
      </w:pPr>
      <w:r>
        <w:rPr>
          <w:i/>
        </w:rPr>
        <w:t>Erstellt: 10.04.2026 | Bearbeiter: RA Dr. K. Maaßmann | Akte: WUE-2026/047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