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Verfahrensrüge: Salami-Taktik und 50Hertz-Planfeststellungsverfahren</w:t>
      </w:r>
    </w:p>
    <w:p>
      <w:pPr>
        <w:jc w:val="left"/>
      </w:pPr>
      <w:r>
        <w:rPr>
          <w:b/>
        </w:rPr>
        <w:t>Erstellt von:</w:t>
      </w:r>
      <w:r>
        <w:t xml:space="preserve"> RA Dr. Korbinian Maaßmann</w:t>
      </w:r>
    </w:p>
    <w:p>
      <w:pPr>
        <w:jc w:val="left"/>
      </w:pPr>
      <w:r>
        <w:rPr>
          <w:b/>
        </w:rPr>
        <w:t>Datum:</w:t>
      </w:r>
      <w:r>
        <w:t xml:space="preserve"> 07.04.2026</w:t>
      </w:r>
    </w:p>
    <w:p>
      <w:pPr>
        <w:jc w:val="left"/>
      </w:pPr>
      <w:r>
        <w:rPr>
          <w:b/>
        </w:rPr>
        <w:t>Verfahren:</w:t>
      </w:r>
      <w:r>
        <w:t xml:space="preserve"> 4 K 218/26 (VG Potsdam)</w:t>
      </w:r>
    </w:p>
    <w:p/>
    <w:p>
      <w:pPr>
        <w:pStyle w:val="Heading2"/>
      </w:pPr>
      <w:r>
        <w:rPr>
          <w:rFonts w:ascii="Times New Roman" w:hAnsi="Times New Roman"/>
        </w:rPr>
        <w:t>I. Sachverhalt: Paralleles Planfeststellungsverfahren</w:t>
      </w:r>
    </w:p>
    <w:p>
      <w:pPr>
        <w:jc w:val="left"/>
      </w:pPr>
      <w:r>
        <w:t>Die Bundesnetzagentur führt unter dem Aktenzeichen BNetzA-PFV-2024-UPL das Planfeststellungsverfahren für die 380-kV-Höchstspannungsleitung „Uckermark-Pommern-Leitung" (UPL) der 50Hertz Transmission GmbH durch. Die Trasse ist im Bedarfsplan nach dem Energieleitungsausbaugesetz (EnLAG) verankert (Vorhaben Nr. 24, BBPlG 2024). Sie ist als Freileitung geplant und soll auf einer Länge von ca. 78 km von Uckermark (bei Templin) über die polnische Grenze nach Stettin verlaufen.</w:t>
      </w:r>
    </w:p>
    <w:p>
      <w:pPr>
        <w:jc w:val="left"/>
      </w:pPr>
      <w:r>
        <w:t xml:space="preserve">Die Trasse verläuft </w:t>
      </w:r>
      <w:r>
        <w:rPr>
          <w:b/>
        </w:rPr>
        <w:t>2,3 km östlich</w:t>
      </w:r>
      <w:r>
        <w:t xml:space="preserve"> des Windpark-Standorts „Templiner Heide West" und kreuzt die Schallausbreitungskorridore der WEA 04 und WEA 05. Nach Auskunft der Bundesnetzagentur (Planungsunterlage UPL, Abschnitt 3.4) ist die Leitung erforderlich, um den Windstrom aus dem Ausbaugebiet Uckermark in das europäische Verbundnetz einzuspeisen – einschließlich des Windparks „Templiner Heide West".</w:t>
      </w:r>
    </w:p>
    <w:p/>
    <w:p>
      <w:pPr>
        <w:pStyle w:val="Heading2"/>
      </w:pPr>
      <w:r>
        <w:rPr>
          <w:rFonts w:ascii="Times New Roman" w:hAnsi="Times New Roman"/>
        </w:rPr>
        <w:t>II. Rechtliche Problemstellung: Aufspaltung eines einheitlichen Vorhabens</w:t>
      </w:r>
    </w:p>
    <w:p>
      <w:pPr>
        <w:jc w:val="left"/>
      </w:pPr>
      <w:r>
        <w:t>Das Prinzip der Bewertung aller Umweltauswirkungen in einem einheitlichen Verfahren folgt aus Art. 4 UVP-Richtlinie 2011/92/EU und § 14 UVPG (Umweltverträglichkeitsprüfung bei kumulierenden Vorhaben). Wenn zwei oder mehr Vorhaben zusammen erhebliche Auswirkungen auf die Umwelt haben, ist eine kumulative UVP durchzuführen.</w:t>
      </w:r>
    </w:p>
    <w:p>
      <w:pPr>
        <w:jc w:val="left"/>
      </w:pPr>
      <w:r>
        <w:t>Das OVG Berlin-Brandenburg hat im Urteil vom 14.10.2015 (OVG 11 A 4.13) entschieden:</w:t>
      </w:r>
    </w:p>
    <w:p>
      <w:pPr>
        <w:ind w:left="567"/>
      </w:pPr>
      <w:r>
        <w:rPr>
          <w:i/>
        </w:rPr>
        <w:t>„Werden mehrere Vorhaben, die in einem engen räumlichen und funktionalen Zusammenhang stehen, formal getrennt beplant und genehmigt, ohne dass die kumulativen Auswirkungen in einem einheitlichen Verfahren beurteilt werden, liegt eine unzulässige Vorhaben-Aufspaltung (‚Salamitaktik') vor."</w:t>
      </w:r>
    </w:p>
    <w:p>
      <w:pPr>
        <w:pStyle w:val="Heading3"/>
      </w:pPr>
      <w:r>
        <w:rPr>
          <w:rFonts w:ascii="Times New Roman" w:hAnsi="Times New Roman"/>
        </w:rPr>
        <w:t>Anwendung auf den vorliegenden Fall</w:t>
      </w:r>
    </w:p>
    <w:p>
      <w:pPr>
        <w:pStyle w:val="ListNumber"/>
      </w:pPr>
      <w:r>
        <w:rPr>
          <w:b/>
        </w:rPr>
        <w:t>Räumlicher Zusammenhang:</w:t>
      </w:r>
      <w:r>
        <w:t xml:space="preserve"> Windpark und Leitung liegen in demselben Landschaftsraum (Uckermark-Schorfheide), Abstand 2,3 km.</w:t>
      </w:r>
    </w:p>
    <w:p>
      <w:pPr>
        <w:pStyle w:val="ListNumber"/>
      </w:pPr>
      <w:r>
        <w:rPr>
          <w:b/>
        </w:rPr>
        <w:t>Funktionaler Zusammenhang:</w:t>
      </w:r>
      <w:r>
        <w:t xml:space="preserve"> Die UPL wird nach eigener Auskunft der 50Hertz (Planungsunterlage, S. 14) auch zur Einspeisung des Windparks „Templiner Heide West" benötigt. Ohne die Leitung wäre der Windpark nicht wirtschaftlich betreibbar (kein ausreichender Netzanschlusspunkt).</w:t>
      </w:r>
    </w:p>
    <w:p>
      <w:pPr>
        <w:pStyle w:val="ListNumber"/>
      </w:pPr>
      <w:r>
        <w:rPr>
          <w:b/>
        </w:rPr>
        <w:t>Fehlen einer kumulativen UVP:</w:t>
      </w:r>
      <w:r>
        <w:t xml:space="preserve"> Im Genehmigungsverfahren des LfU (Az.: 40.2-LfU-7204-22/26) wurde die Leitung nicht als kumulierendes Vorhaben berücksichtigt. Der UVP-Bericht der Vorhabenträgerin enthält keine Aussagen zu den kombinierten visuellen und elektromagnetischen Auswirkungen von Windpark + Hochspannungsleitung.</w:t>
      </w:r>
    </w:p>
    <w:p/>
    <w:p>
      <w:pPr>
        <w:pStyle w:val="Heading2"/>
      </w:pPr>
      <w:r>
        <w:rPr>
          <w:rFonts w:ascii="Times New Roman" w:hAnsi="Times New Roman"/>
        </w:rPr>
        <w:t>III. Rechtliche Konsequenz</w:t>
      </w:r>
    </w:p>
    <w:p>
      <w:pPr>
        <w:jc w:val="left"/>
      </w:pPr>
      <w:r>
        <w:t xml:space="preserve">Der Verstoß gegen § 14 UVPG und Art. 4 UVP-Richtlinie begründet die </w:t>
      </w:r>
      <w:r>
        <w:rPr>
          <w:b/>
        </w:rPr>
        <w:t>Rechtswidrigkeit des Genehmigungsbescheids</w:t>
      </w:r>
      <w:r>
        <w:t xml:space="preserve"> (fehlerhafter UVP-Bericht), soweit die kumulativen Auswirkungen der Vorhaben nicht bewertet wurden.</w:t>
      </w:r>
    </w:p>
    <w:p>
      <w:pPr>
        <w:jc w:val="left"/>
      </w:pPr>
      <w:r>
        <w:t>Ein etwaiger Heilungsanspruch der Behörde (§ 45 VwVfG) scheidet aus, da der Fehler nicht durch nachträgliche Verfahrenshandlungen geheilt werden kann (BVerwG, Urt. v. 03.05.2011, 7 C 4.10).</w:t>
      </w:r>
    </w:p>
    <w:p/>
    <w:p>
      <w:pPr>
        <w:jc w:val="left"/>
      </w:pPr>
      <w:r>
        <w:rPr>
          <w:i/>
        </w:rPr>
        <w:t>Erstellt: 07.04.2026 | Bearbeiter: RA Dr. K. Maaßmann | Akte: WUE-2026/047</w:t>
      </w:r>
    </w:p>
    <w:p>
      <w:pPr>
        <w:jc w:val="left"/>
      </w:pPr>
      <w:r>
        <w:rPr>
          <w:b/>
        </w:rPr>
        <w:t>Quellen:</w:t>
      </w:r>
      <w:r>
        <w:t xml:space="preserve"> OVG Berlin-Brandenburg, Urt. v. 14.10.2015, OVG 11 A 4.13 (openjur.de); § 14 UVPG; BVerwG, Urt. v. 03.05.2011, 7 C 4.10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