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18 – Fristen- und Klageerhebungsnotiz</w:t>
      </w:r>
    </w:p>
    <w:p>
      <w:pPr>
        <w:jc w:val="left"/>
      </w:pPr>
      <w:r>
        <w:rPr>
          <w:b/>
        </w:rPr>
        <w:t>Erstellt von:</w:t>
      </w:r>
      <w:r>
        <w:t xml:space="preserve"> RA Dr. Korbinian Maaßmann</w:t>
      </w:r>
    </w:p>
    <w:p>
      <w:pPr>
        <w:jc w:val="left"/>
      </w:pPr>
      <w:r>
        <w:rPr>
          <w:b/>
        </w:rPr>
        <w:t>Datum:</w:t>
      </w:r>
      <w:r>
        <w:t xml:space="preserve"> 10.04.2026</w:t>
      </w:r>
    </w:p>
    <w:p>
      <w:pPr>
        <w:jc w:val="left"/>
      </w:pPr>
      <w:r>
        <w:rPr>
          <w:b/>
        </w:rPr>
        <w:t>Verfahren:</w:t>
      </w:r>
      <w:r>
        <w:t xml:space="preserve"> 4 K 218/26 / 4 L 89/26 / OVG 2 A 18.26</w:t>
      </w:r>
    </w:p>
    <w:p/>
    <w:p>
      <w:pPr>
        <w:pStyle w:val="Heading2"/>
      </w:pPr>
      <w:r>
        <w:rPr>
          <w:rFonts w:ascii="Times New Roman" w:hAnsi="Times New Roman"/>
        </w:rPr>
        <w:t>I. Berechnung der Klagefrist (4 K 218/26)</w:t>
      </w:r>
    </w:p>
    <w:p>
      <w:pPr>
        <w:pStyle w:val="ListBullet"/>
      </w:pPr>
      <w:r>
        <w:t xml:space="preserve">Genehmigungsbescheid LfU datiert: </w:t>
      </w:r>
      <w:r>
        <w:rPr>
          <w:b/>
        </w:rPr>
        <w:t>14.03.2026</w:t>
      </w:r>
    </w:p>
    <w:p>
      <w:pPr>
        <w:pStyle w:val="ListBullet"/>
      </w:pPr>
      <w:r>
        <w:t xml:space="preserve">Zustellung an Mandantin (Dr. Maashardt): </w:t>
      </w:r>
      <w:r>
        <w:rPr>
          <w:b/>
        </w:rPr>
        <w:t>16.03.2026</w:t>
      </w:r>
      <w:r>
        <w:t xml:space="preserve"> (Empfangsbekenntnis)</w:t>
      </w:r>
    </w:p>
    <w:p>
      <w:pPr>
        <w:pStyle w:val="ListBullet"/>
      </w:pPr>
      <w:r>
        <w:t xml:space="preserve">Zustellung an BI (durch Veröffentlichung im Amtsblatt für Brandenburg): </w:t>
      </w:r>
      <w:r>
        <w:rPr>
          <w:b/>
        </w:rPr>
        <w:t>20.03.2026</w:t>
      </w:r>
    </w:p>
    <w:p>
      <w:pPr>
        <w:pStyle w:val="ListBullet"/>
      </w:pPr>
      <w:r>
        <w:t xml:space="preserve">Klagefrist gem. § 74 Abs. 1 S. 1 VwGO: </w:t>
      </w:r>
      <w:r>
        <w:rPr>
          <w:b/>
        </w:rPr>
        <w:t>1 Monat</w:t>
      </w:r>
      <w:r>
        <w:t xml:space="preserve"> ab Bekanntgabe</w:t>
      </w:r>
    </w:p>
    <w:p>
      <w:pPr>
        <w:pStyle w:val="ListBullet"/>
      </w:pPr>
      <w:r>
        <w:t xml:space="preserve">Fristende (für Dr. Maashardt): </w:t>
      </w:r>
      <w:r>
        <w:rPr>
          <w:b/>
        </w:rPr>
        <w:t>16.04.2026</w:t>
      </w:r>
    </w:p>
    <w:p>
      <w:pPr>
        <w:pStyle w:val="ListBullet"/>
      </w:pPr>
      <w:r>
        <w:t xml:space="preserve">Fristende (für BI nach Amtsblatt): </w:t>
      </w:r>
      <w:r>
        <w:rPr>
          <w:b/>
        </w:rPr>
        <w:t>20.04.2026</w:t>
      </w:r>
    </w:p>
    <w:p>
      <w:pPr>
        <w:pStyle w:val="ListBullet"/>
      </w:pPr>
      <w:r>
        <w:rPr>
          <w:b/>
        </w:rPr>
        <w:t>Maßgebliches Fristende:</w:t>
      </w:r>
      <w:r>
        <w:t xml:space="preserve"> 16.04.2026 (früheste Frist)</w:t>
      </w:r>
    </w:p>
    <w:p>
      <w:pPr>
        <w:jc w:val="left"/>
      </w:pPr>
      <w:r>
        <w:rPr>
          <w:b/>
        </w:rPr>
        <w:t>Klagefrist läuft ab: Mittwoch, 16.04.2026, 24:00 Uhr</w:t>
      </w:r>
    </w:p>
    <w:p>
      <w:pPr>
        <w:pStyle w:val="Heading2"/>
      </w:pPr>
      <w:r>
        <w:rPr>
          <w:rFonts w:ascii="Times New Roman" w:hAnsi="Times New Roman"/>
        </w:rPr>
        <w:t>II. Eilantrag (4 L 89/26)</w:t>
      </w:r>
    </w:p>
    <w:p>
      <w:pPr>
        <w:pStyle w:val="ListBullet"/>
      </w:pPr>
      <w:r>
        <w:t>Kein gesondertes Fristerfordernis für Eilantrag gem. § 80 Abs. 5 VwGO</w:t>
      </w:r>
    </w:p>
    <w:p>
      <w:pPr>
        <w:pStyle w:val="ListBullet"/>
      </w:pPr>
      <w:r>
        <w:rPr>
          <w:b/>
        </w:rPr>
        <w:t>Empfehlung:</w:t>
      </w:r>
      <w:r>
        <w:t xml:space="preserve"> Gemeinsame Einreichung mit Klage am 16.04.2026 (Dringlichkeit aufgrund geplantem Baubeginn 01.05.2026)</w:t>
      </w:r>
    </w:p>
    <w:p>
      <w:pPr>
        <w:pStyle w:val="Heading2"/>
      </w:pPr>
      <w:r>
        <w:rPr>
          <w:rFonts w:ascii="Times New Roman" w:hAnsi="Times New Roman"/>
        </w:rPr>
        <w:t>III. Normenkontrollantrag OVG (OVG 2 A 18.26)</w:t>
      </w:r>
    </w:p>
    <w:p>
      <w:pPr>
        <w:pStyle w:val="ListBullet"/>
      </w:pPr>
      <w:r>
        <w:t xml:space="preserve">Publikation Sachlicher Teilplan Windenergie RPL UB: </w:t>
      </w:r>
      <w:r>
        <w:rPr>
          <w:b/>
        </w:rPr>
        <w:t>15.06.2023</w:t>
      </w:r>
    </w:p>
    <w:p>
      <w:pPr>
        <w:pStyle w:val="ListBullet"/>
      </w:pPr>
      <w:r>
        <w:t xml:space="preserve">Gesetzliche Antragsfrist § 47 Abs. 2 S. 1 VwGO: </w:t>
      </w:r>
      <w:r>
        <w:rPr>
          <w:b/>
        </w:rPr>
        <w:t>1 Jahr</w:t>
      </w:r>
    </w:p>
    <w:p>
      <w:pPr>
        <w:pStyle w:val="ListBullet"/>
      </w:pPr>
      <w:r>
        <w:t xml:space="preserve">Reguläres Fristende: </w:t>
      </w:r>
      <w:r>
        <w:rPr>
          <w:b/>
        </w:rPr>
        <w:t>15.06.2024</w:t>
      </w:r>
      <w:r>
        <w:t xml:space="preserve"> (abgelaufen!)</w:t>
      </w:r>
    </w:p>
    <w:p>
      <w:pPr>
        <w:pStyle w:val="ListBullet"/>
      </w:pPr>
      <w:r>
        <w:rPr>
          <w:b/>
        </w:rPr>
        <w:t>Argumentation für zulässige Verspätung:</w:t>
      </w:r>
      <w:r>
        <w:t xml:space="preserve"> s. Aktenstück 06, Abschnitt II.3</w:t>
      </w:r>
    </w:p>
    <w:p>
      <w:pPr>
        <w:pStyle w:val="ListBullet"/>
      </w:pPr>
      <w:r>
        <w:rPr>
          <w:b/>
        </w:rPr>
        <w:t>Antrag dennoch schnellstmöglich einreichen:</w:t>
      </w:r>
      <w:r>
        <w:t xml:space="preserve"> bis </w:t>
      </w:r>
      <w:r>
        <w:rPr>
          <w:b/>
        </w:rPr>
        <w:t>15.04.2026</w:t>
      </w:r>
    </w:p>
    <w:p>
      <w:pPr>
        <w:pStyle w:val="Heading2"/>
      </w:pPr>
      <w:r>
        <w:rPr>
          <w:rFonts w:ascii="Times New Roman" w:hAnsi="Times New Roman"/>
        </w:rPr>
        <w:t>IV. Wiedervorlage und Terminkalender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Erledigungsstatus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Normenkontrollantrag OVG einreichen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☐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Klageerhebung VG Potsdam (4 K 218/26)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☐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Eilantrag VG Potsdam (4 L 89/26)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☐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Gegengutachten Schall erwartet (Riedering)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☐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Vorläufige Stellungnahme Prof. Krüger (Rotmilan)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☐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Antwort LfU auf IFG-Antrag erwartet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☐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Folgeabstimmung 50Hertz mit NABU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☐</w:t>
            </w:r>
          </w:p>
        </w:tc>
      </w:tr>
    </w:tbl>
    <w:p/>
    <w:p>
      <w:pPr>
        <w:jc w:val="left"/>
      </w:pPr>
      <w:r>
        <w:rPr>
          <w:i/>
        </w:rPr>
        <w:t>Erstellt: 10.04.2026 | Bearbeiter: RA Dr. K. Maaßmann | Akte: WUE-2026/047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