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Aktenvorblatt — Marx Strafverteidigung Frankfurt</w:t>
      </w:r>
    </w:p>
    <w:p>
      <w:pPr>
        <w:jc w:val="left"/>
      </w:pPr>
      <w:r>
        <w:rPr>
          <w:b/>
        </w:rPr>
        <w:t>Kanzlei:</w:t>
      </w:r>
      <w:r>
        <w:t xml:space="preserve"> Marx Strafverteidigung Frankfurt</w:t>
      </w:r>
    </w:p>
    <w:p>
      <w:pPr>
        <w:jc w:val="left"/>
      </w:pPr>
      <w:r>
        <w:rPr>
          <w:b/>
        </w:rPr>
        <w:t>Anwältin:</w:t>
      </w:r>
      <w:r>
        <w:t xml:space="preserve"> Dr. Friederike Marx, Fachanwältin für Strafrecht</w:t>
      </w:r>
    </w:p>
    <w:p>
      <w:pPr>
        <w:jc w:val="left"/>
      </w:pPr>
      <w:r>
        <w:rPr>
          <w:b/>
        </w:rPr>
        <w:t>Anschrift:</w:t>
      </w:r>
      <w:r>
        <w:t xml:space="preserve"> Bockenheimer Landstraße 84, 60323 Frankfurt am Main</w:t>
      </w:r>
    </w:p>
    <w:p>
      <w:pPr>
        <w:jc w:val="left"/>
      </w:pPr>
      <w:r>
        <w:rPr>
          <w:b/>
        </w:rPr>
        <w:t>Tel.:</w:t>
      </w:r>
      <w:r>
        <w:t xml:space="preserve"> 069 / 44 55 66 70  </w:t>
      </w:r>
      <w:r>
        <w:rPr>
          <w:b/>
        </w:rPr>
        <w:t>Fax:</w:t>
      </w:r>
      <w:r>
        <w:t xml:space="preserve"> 069 / 44 55 66 79</w:t>
      </w:r>
    </w:p>
    <w:p>
      <w:pPr>
        <w:jc w:val="left"/>
      </w:pPr>
      <w:r>
        <w:rPr>
          <w:b/>
        </w:rPr>
        <w:t>E-Mail:</w:t>
      </w:r>
      <w:r>
        <w:t xml:space="preserve"> marx@marx-strafverteidigung.de</w:t>
      </w:r>
    </w:p>
    <w:p/>
    <w:p>
      <w:pPr>
        <w:pStyle w:val="Heading2"/>
      </w:pPr>
      <w:r>
        <w:rPr>
          <w:rFonts w:ascii="Times New Roman" w:hAnsi="Times New Roman"/>
        </w:rPr>
        <w:t>Mandatsdaten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Mandant</w:t>
            </w:r>
          </w:p>
        </w:tc>
        <w:tc>
          <w:tcPr>
            <w:tcW w:type="dxa" w:w="4536"/>
          </w:tcPr>
          <w:p>
            <w:r>
              <w:rPr>
                <w:rFonts w:ascii="Times New Roman" w:hAnsi="Times New Roman"/>
                <w:sz w:val="20"/>
              </w:rPr>
              <w:t>Daniel Albert Bankert, geb. 14.03.1979, StA deutsch</w:t>
            </w:r>
          </w:p>
        </w:tc>
      </w:tr>
      <w:tr>
        <w:tc>
          <w:tcPr>
            <w:tcW w:type="dxa" w:w="4536"/>
          </w:tcPr>
          <w:p>
            <w:r>
              <w:rPr>
                <w:rFonts w:ascii="Times New Roman" w:hAnsi="Times New Roman"/>
                <w:sz w:val="20"/>
              </w:rPr>
              <w:t>Anschrift Mandant</w:t>
            </w:r>
          </w:p>
        </w:tc>
        <w:tc>
          <w:tcPr>
            <w:tcW w:type="dxa" w:w="4536"/>
          </w:tcPr>
          <w:p>
            <w:r>
              <w:rPr>
                <w:rFonts w:ascii="Times New Roman" w:hAnsi="Times New Roman"/>
                <w:sz w:val="20"/>
              </w:rPr>
              <w:t>Westendstraße 112, 60325 Frankfurt am Main</w:t>
            </w:r>
          </w:p>
        </w:tc>
      </w:tr>
      <w:tr>
        <w:tc>
          <w:tcPr>
            <w:tcW w:type="dxa" w:w="4536"/>
          </w:tcPr>
          <w:p>
            <w:r>
              <w:rPr>
                <w:rFonts w:ascii="Times New Roman" w:hAnsi="Times New Roman"/>
                <w:sz w:val="20"/>
              </w:rPr>
              <w:t>Aufenthaltsort</w:t>
            </w:r>
          </w:p>
        </w:tc>
        <w:tc>
          <w:tcPr>
            <w:tcW w:type="dxa" w:w="4536"/>
          </w:tcPr>
          <w:p>
            <w:r>
              <w:rPr>
                <w:rFonts w:ascii="Times New Roman" w:hAnsi="Times New Roman"/>
                <w:sz w:val="20"/>
              </w:rPr>
              <w:t>JVA Frankfurt I, Hammelsgasse 5, 60311 Frankfurt am Main (U-Haft seit 17.03.2025)</w:t>
            </w:r>
          </w:p>
        </w:tc>
      </w:tr>
      <w:tr>
        <w:tc>
          <w:tcPr>
            <w:tcW w:type="dxa" w:w="4536"/>
          </w:tcPr>
          <w:p>
            <w:r>
              <w:rPr>
                <w:rFonts w:ascii="Times New Roman" w:hAnsi="Times New Roman"/>
                <w:sz w:val="20"/>
              </w:rPr>
              <w:t>Aktenzeichen LG</w:t>
            </w:r>
          </w:p>
        </w:tc>
        <w:tc>
          <w:tcPr>
            <w:tcW w:type="dxa" w:w="4536"/>
          </w:tcPr>
          <w:p>
            <w:r>
              <w:rPr>
                <w:rFonts w:ascii="Times New Roman" w:hAnsi="Times New Roman"/>
                <w:b/>
                <w:sz w:val="20"/>
              </w:rPr>
              <w:t>5/28 KLs 122/25</w:t>
            </w:r>
          </w:p>
        </w:tc>
      </w:tr>
      <w:tr>
        <w:tc>
          <w:tcPr>
            <w:tcW w:type="dxa" w:w="4536"/>
          </w:tcPr>
          <w:p>
            <w:r>
              <w:rPr>
                <w:rFonts w:ascii="Times New Roman" w:hAnsi="Times New Roman"/>
                <w:sz w:val="20"/>
              </w:rPr>
              <w:t>Aktenzeichen StA</w:t>
            </w:r>
          </w:p>
        </w:tc>
        <w:tc>
          <w:tcPr>
            <w:tcW w:type="dxa" w:w="4536"/>
          </w:tcPr>
          <w:p>
            <w:r>
              <w:rPr>
                <w:rFonts w:ascii="Times New Roman" w:hAnsi="Times New Roman"/>
                <w:b/>
                <w:sz w:val="20"/>
              </w:rPr>
              <w:t>5400 Js 14782/24</w:t>
            </w:r>
          </w:p>
        </w:tc>
      </w:tr>
      <w:tr>
        <w:tc>
          <w:tcPr>
            <w:tcW w:type="dxa" w:w="4536"/>
          </w:tcPr>
          <w:p>
            <w:r>
              <w:rPr>
                <w:rFonts w:ascii="Times New Roman" w:hAnsi="Times New Roman"/>
                <w:sz w:val="20"/>
              </w:rPr>
              <w:t>Staatsanwaltschaft</w:t>
            </w:r>
          </w:p>
        </w:tc>
        <w:tc>
          <w:tcPr>
            <w:tcW w:type="dxa" w:w="4536"/>
          </w:tcPr>
          <w:p>
            <w:r>
              <w:rPr>
                <w:rFonts w:ascii="Times New Roman" w:hAnsi="Times New Roman"/>
                <w:sz w:val="20"/>
              </w:rPr>
              <w:t>Staatsanwaltschaft Frankfurt am Main, Abt. Wirtschaftskriminalität</w:t>
            </w:r>
          </w:p>
        </w:tc>
      </w:tr>
      <w:tr>
        <w:tc>
          <w:tcPr>
            <w:tcW w:type="dxa" w:w="4536"/>
          </w:tcPr>
          <w:p>
            <w:r>
              <w:rPr>
                <w:rFonts w:ascii="Times New Roman" w:hAnsi="Times New Roman"/>
                <w:sz w:val="20"/>
              </w:rPr>
              <w:t>Sachbearbeiterin StA</w:t>
            </w:r>
          </w:p>
        </w:tc>
        <w:tc>
          <w:tcPr>
            <w:tcW w:type="dxa" w:w="4536"/>
          </w:tcPr>
          <w:p>
            <w:r>
              <w:rPr>
                <w:rFonts w:ascii="Times New Roman" w:hAnsi="Times New Roman"/>
                <w:sz w:val="20"/>
              </w:rPr>
              <w:t>OStA Dr. Henning Wallisch (Sitzungsvertreter)</w:t>
            </w:r>
          </w:p>
        </w:tc>
      </w:tr>
      <w:tr>
        <w:tc>
          <w:tcPr>
            <w:tcW w:type="dxa" w:w="4536"/>
          </w:tcPr>
          <w:p>
            <w:r>
              <w:rPr>
                <w:rFonts w:ascii="Times New Roman" w:hAnsi="Times New Roman"/>
                <w:sz w:val="20"/>
              </w:rPr>
              <w:t>Gericht</w:t>
            </w:r>
          </w:p>
        </w:tc>
        <w:tc>
          <w:tcPr>
            <w:tcW w:type="dxa" w:w="4536"/>
          </w:tcPr>
          <w:p>
            <w:r>
              <w:rPr>
                <w:rFonts w:ascii="Times New Roman" w:hAnsi="Times New Roman"/>
                <w:sz w:val="20"/>
              </w:rPr>
              <w:t>Landgericht Frankfurt am Main, 14. Große Wirtschaftsstrafkammer</w:t>
            </w:r>
          </w:p>
        </w:tc>
      </w:tr>
      <w:tr>
        <w:tc>
          <w:tcPr>
            <w:tcW w:type="dxa" w:w="4536"/>
          </w:tcPr>
          <w:p>
            <w:r>
              <w:rPr>
                <w:rFonts w:ascii="Times New Roman" w:hAnsi="Times New Roman"/>
                <w:sz w:val="20"/>
              </w:rPr>
              <w:t>Mandatsannahme</w:t>
            </w:r>
          </w:p>
        </w:tc>
        <w:tc>
          <w:tcPr>
            <w:tcW w:type="dxa" w:w="4536"/>
          </w:tcPr>
          <w:p>
            <w:r>
              <w:rPr>
                <w:rFonts w:ascii="Times New Roman" w:hAnsi="Times New Roman"/>
                <w:sz w:val="20"/>
              </w:rPr>
              <w:t>20.03.2025</w:t>
            </w:r>
          </w:p>
        </w:tc>
      </w:tr>
      <w:tr>
        <w:tc>
          <w:tcPr>
            <w:tcW w:type="dxa" w:w="4536"/>
          </w:tcPr>
          <w:p>
            <w:r>
              <w:rPr>
                <w:rFonts w:ascii="Times New Roman" w:hAnsi="Times New Roman"/>
                <w:sz w:val="20"/>
              </w:rPr>
              <w:t>Stichtag dieser Akte</w:t>
            </w:r>
          </w:p>
        </w:tc>
        <w:tc>
          <w:tcPr>
            <w:tcW w:type="dxa" w:w="4536"/>
          </w:tcPr>
          <w:p>
            <w:r>
              <w:rPr>
                <w:rFonts w:ascii="Times New Roman" w:hAnsi="Times New Roman"/>
                <w:sz w:val="20"/>
              </w:rPr>
              <w:t>12.05.2025</w:t>
            </w:r>
          </w:p>
        </w:tc>
      </w:tr>
    </w:tbl>
    <w:p/>
    <w:p>
      <w:pPr>
        <w:pStyle w:val="Heading2"/>
      </w:pPr>
      <w:r>
        <w:rPr>
          <w:rFonts w:ascii="Times New Roman" w:hAnsi="Times New Roman"/>
        </w:rPr>
        <w:t>Tatvorwürfe (Anklageschrift vom 08.04.2025)</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w:t>
            </w:r>
          </w:p>
        </w:tc>
        <w:tc>
          <w:tcPr>
            <w:tcW w:type="dxa" w:w="3024"/>
          </w:tcPr>
          <w:p>
            <w:r>
              <w:rPr>
                <w:rFonts w:ascii="Times New Roman" w:hAnsi="Times New Roman"/>
                <w:b/>
                <w:sz w:val="20"/>
              </w:rPr>
              <w:t>Delikt</w:t>
            </w:r>
          </w:p>
        </w:tc>
        <w:tc>
          <w:tcPr>
            <w:tcW w:type="dxa" w:w="3024"/>
          </w:tcPr>
          <w:p>
            <w:r>
              <w:rPr>
                <w:rFonts w:ascii="Times New Roman" w:hAnsi="Times New Roman"/>
                <w:b/>
                <w:sz w:val="20"/>
              </w:rPr>
              <w:t>Schadenshöhe (vorläufig)</w:t>
            </w:r>
          </w:p>
        </w:tc>
      </w:tr>
      <w:tr>
        <w:tc>
          <w:tcPr>
            <w:tcW w:type="dxa" w:w="3024"/>
          </w:tcPr>
          <w:p>
            <w:r>
              <w:rPr>
                <w:rFonts w:ascii="Times New Roman" w:hAnsi="Times New Roman"/>
                <w:sz w:val="20"/>
              </w:rPr>
              <w:t>§ 263 Abs. 3 StGB</w:t>
            </w:r>
          </w:p>
        </w:tc>
        <w:tc>
          <w:tcPr>
            <w:tcW w:type="dxa" w:w="3024"/>
          </w:tcPr>
          <w:p>
            <w:r>
              <w:rPr>
                <w:rFonts w:ascii="Times New Roman" w:hAnsi="Times New Roman"/>
                <w:sz w:val="20"/>
              </w:rPr>
              <w:t>Gewerbsmäßiger Betrug (14 Fälle)</w:t>
            </w:r>
          </w:p>
        </w:tc>
        <w:tc>
          <w:tcPr>
            <w:tcW w:type="dxa" w:w="3024"/>
          </w:tcPr>
          <w:p>
            <w:r>
              <w:rPr>
                <w:rFonts w:ascii="Times New Roman" w:hAnsi="Times New Roman"/>
                <w:sz w:val="20"/>
              </w:rPr>
              <w:t>ca. 4.300.000 EUR</w:t>
            </w:r>
          </w:p>
        </w:tc>
      </w:tr>
      <w:tr>
        <w:tc>
          <w:tcPr>
            <w:tcW w:type="dxa" w:w="3024"/>
          </w:tcPr>
          <w:p>
            <w:r>
              <w:rPr>
                <w:rFonts w:ascii="Times New Roman" w:hAnsi="Times New Roman"/>
                <w:sz w:val="20"/>
              </w:rPr>
              <w:t>§ 266 StGB</w:t>
            </w:r>
          </w:p>
        </w:tc>
        <w:tc>
          <w:tcPr>
            <w:tcW w:type="dxa" w:w="3024"/>
          </w:tcPr>
          <w:p>
            <w:r>
              <w:rPr>
                <w:rFonts w:ascii="Times New Roman" w:hAnsi="Times New Roman"/>
                <w:sz w:val="20"/>
              </w:rPr>
              <w:t>Untreue (Gesellschaftermittel, Liechtenstein-Trust)</w:t>
            </w:r>
          </w:p>
        </w:tc>
        <w:tc>
          <w:tcPr>
            <w:tcW w:type="dxa" w:w="3024"/>
          </w:tcPr>
          <w:p>
            <w:r>
              <w:rPr>
                <w:rFonts w:ascii="Times New Roman" w:hAnsi="Times New Roman"/>
                <w:sz w:val="20"/>
              </w:rPr>
              <w:t>ca. 870.000 EUR</w:t>
            </w:r>
          </w:p>
        </w:tc>
      </w:tr>
      <w:tr>
        <w:tc>
          <w:tcPr>
            <w:tcW w:type="dxa" w:w="3024"/>
          </w:tcPr>
          <w:p>
            <w:r>
              <w:rPr>
                <w:rFonts w:ascii="Times New Roman" w:hAnsi="Times New Roman"/>
                <w:sz w:val="20"/>
              </w:rPr>
              <w:t>§ 334 StGB</w:t>
            </w:r>
          </w:p>
        </w:tc>
        <w:tc>
          <w:tcPr>
            <w:tcW w:type="dxa" w:w="3024"/>
          </w:tcPr>
          <w:p>
            <w:r>
              <w:rPr>
                <w:rFonts w:ascii="Times New Roman" w:hAnsi="Times New Roman"/>
                <w:sz w:val="20"/>
              </w:rPr>
              <w:t>Bestechung (drei Einkäufer ABC Großabnehmer SE)</w:t>
            </w:r>
          </w:p>
        </w:tc>
        <w:tc>
          <w:tcPr>
            <w:tcW w:type="dxa" w:w="3024"/>
          </w:tcPr>
          <w:p>
            <w:r>
              <w:rPr>
                <w:rFonts w:ascii="Times New Roman" w:hAnsi="Times New Roman"/>
                <w:sz w:val="20"/>
              </w:rPr>
              <w:t>—</w:t>
            </w:r>
          </w:p>
        </w:tc>
      </w:tr>
      <w:tr>
        <w:tc>
          <w:tcPr>
            <w:tcW w:type="dxa" w:w="3024"/>
          </w:tcPr>
          <w:p>
            <w:r>
              <w:rPr>
                <w:rFonts w:ascii="Times New Roman" w:hAnsi="Times New Roman"/>
                <w:sz w:val="20"/>
              </w:rPr>
              <w:t>§ 370 AO</w:t>
            </w:r>
          </w:p>
        </w:tc>
        <w:tc>
          <w:tcPr>
            <w:tcW w:type="dxa" w:w="3024"/>
          </w:tcPr>
          <w:p>
            <w:r>
              <w:rPr>
                <w:rFonts w:ascii="Times New Roman" w:hAnsi="Times New Roman"/>
                <w:sz w:val="20"/>
              </w:rPr>
              <w:t>Steuerhinterziehung (VZ 2019–2022)</w:t>
            </w:r>
          </w:p>
        </w:tc>
        <w:tc>
          <w:tcPr>
            <w:tcW w:type="dxa" w:w="3024"/>
          </w:tcPr>
          <w:p>
            <w:r>
              <w:rPr>
                <w:rFonts w:ascii="Times New Roman" w:hAnsi="Times New Roman"/>
                <w:sz w:val="20"/>
              </w:rPr>
              <w:t>ca. 1.100.000 EUR</w:t>
            </w:r>
          </w:p>
        </w:tc>
      </w:tr>
    </w:tbl>
    <w:p>
      <w:pPr>
        <w:jc w:val="left"/>
      </w:pPr>
      <w:r>
        <w:t xml:space="preserve">Gesamt-Schadensvolumen gemäß Anklageschrift: </w:t>
      </w:r>
      <w:r>
        <w:rPr>
          <w:b/>
        </w:rPr>
        <w:t>ca. 6.270.000 EUR</w:t>
      </w:r>
    </w:p>
    <w:p/>
    <w:p>
      <w:pPr>
        <w:pStyle w:val="Heading2"/>
      </w:pPr>
      <w:r>
        <w:rPr>
          <w:rFonts w:ascii="Times New Roman" w:hAnsi="Times New Roman"/>
        </w:rPr>
        <w:t>Beteiligte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Rolle</w:t>
            </w:r>
          </w:p>
        </w:tc>
        <w:tc>
          <w:tcPr>
            <w:tcW w:type="dxa" w:w="4536"/>
          </w:tcPr>
          <w:p>
            <w:r>
              <w:rPr>
                <w:rFonts w:ascii="Times New Roman" w:hAnsi="Times New Roman"/>
                <w:b/>
                <w:sz w:val="20"/>
              </w:rPr>
              <w:t>Person / Institution</w:t>
            </w:r>
          </w:p>
        </w:tc>
      </w:tr>
      <w:tr>
        <w:tc>
          <w:tcPr>
            <w:tcW w:type="dxa" w:w="4536"/>
          </w:tcPr>
          <w:p>
            <w:r>
              <w:rPr>
                <w:rFonts w:ascii="Times New Roman" w:hAnsi="Times New Roman"/>
                <w:sz w:val="20"/>
              </w:rPr>
              <w:t>Beschuldigter / Mandant</w:t>
            </w:r>
          </w:p>
        </w:tc>
        <w:tc>
          <w:tcPr>
            <w:tcW w:type="dxa" w:w="4536"/>
          </w:tcPr>
          <w:p>
            <w:r>
              <w:rPr>
                <w:rFonts w:ascii="Times New Roman" w:hAnsi="Times New Roman"/>
                <w:sz w:val="20"/>
              </w:rPr>
              <w:t>Daniel Albert Bankert</w:t>
            </w:r>
          </w:p>
        </w:tc>
      </w:tr>
      <w:tr>
        <w:tc>
          <w:tcPr>
            <w:tcW w:type="dxa" w:w="4536"/>
          </w:tcPr>
          <w:p>
            <w:r>
              <w:rPr>
                <w:rFonts w:ascii="Times New Roman" w:hAnsi="Times New Roman"/>
                <w:sz w:val="20"/>
              </w:rPr>
              <w:t>Verteidigerin</w:t>
            </w:r>
          </w:p>
        </w:tc>
        <w:tc>
          <w:tcPr>
            <w:tcW w:type="dxa" w:w="4536"/>
          </w:tcPr>
          <w:p>
            <w:r>
              <w:rPr>
                <w:rFonts w:ascii="Times New Roman" w:hAnsi="Times New Roman"/>
                <w:sz w:val="20"/>
              </w:rPr>
              <w:t>Dr. Friederike Marx, Marx Strafverteidigung Frankfurt</w:t>
            </w:r>
          </w:p>
        </w:tc>
      </w:tr>
      <w:tr>
        <w:tc>
          <w:tcPr>
            <w:tcW w:type="dxa" w:w="4536"/>
          </w:tcPr>
          <w:p>
            <w:r>
              <w:rPr>
                <w:rFonts w:ascii="Times New Roman" w:hAnsi="Times New Roman"/>
                <w:sz w:val="20"/>
              </w:rPr>
              <w:t>Hauptbelastungszeuge 1</w:t>
            </w:r>
          </w:p>
        </w:tc>
        <w:tc>
          <w:tcPr>
            <w:tcW w:type="dxa" w:w="4536"/>
          </w:tcPr>
          <w:p>
            <w:r>
              <w:rPr>
                <w:rFonts w:ascii="Times New Roman" w:hAnsi="Times New Roman"/>
                <w:sz w:val="20"/>
              </w:rPr>
              <w:t>Sven Pollmann, Einkäufer ABC Großabnehmer SE</w:t>
            </w:r>
          </w:p>
        </w:tc>
      </w:tr>
      <w:tr>
        <w:tc>
          <w:tcPr>
            <w:tcW w:type="dxa" w:w="4536"/>
          </w:tcPr>
          <w:p>
            <w:r>
              <w:rPr>
                <w:rFonts w:ascii="Times New Roman" w:hAnsi="Times New Roman"/>
                <w:sz w:val="20"/>
              </w:rPr>
              <w:t>Hauptbelastungszeuge 2</w:t>
            </w:r>
          </w:p>
        </w:tc>
        <w:tc>
          <w:tcPr>
            <w:tcW w:type="dxa" w:w="4536"/>
          </w:tcPr>
          <w:p>
            <w:r>
              <w:rPr>
                <w:rFonts w:ascii="Times New Roman" w:hAnsi="Times New Roman"/>
                <w:sz w:val="20"/>
              </w:rPr>
              <w:t>Yvonne Kohlrausch, Buchhalterin Bankert Industrieautomation GmbH</w:t>
            </w:r>
          </w:p>
        </w:tc>
      </w:tr>
      <w:tr>
        <w:tc>
          <w:tcPr>
            <w:tcW w:type="dxa" w:w="4536"/>
          </w:tcPr>
          <w:p>
            <w:r>
              <w:rPr>
                <w:rFonts w:ascii="Times New Roman" w:hAnsi="Times New Roman"/>
                <w:sz w:val="20"/>
              </w:rPr>
              <w:t>Nebenklägerin</w:t>
            </w:r>
          </w:p>
        </w:tc>
        <w:tc>
          <w:tcPr>
            <w:tcW w:type="dxa" w:w="4536"/>
          </w:tcPr>
          <w:p>
            <w:r>
              <w:rPr>
                <w:rFonts w:ascii="Times New Roman" w:hAnsi="Times New Roman"/>
                <w:sz w:val="20"/>
              </w:rPr>
              <w:t>ABC Großabnehmer SE (vertr. durch RA Krämer, Krämer Hauck)</w:t>
            </w:r>
          </w:p>
        </w:tc>
      </w:tr>
      <w:tr>
        <w:tc>
          <w:tcPr>
            <w:tcW w:type="dxa" w:w="4536"/>
          </w:tcPr>
          <w:p>
            <w:r>
              <w:rPr>
                <w:rFonts w:ascii="Times New Roman" w:hAnsi="Times New Roman"/>
                <w:sz w:val="20"/>
              </w:rPr>
              <w:t>Mitbeschuldigter (eingest.)</w:t>
            </w:r>
          </w:p>
        </w:tc>
        <w:tc>
          <w:tcPr>
            <w:tcW w:type="dxa" w:w="4536"/>
          </w:tcPr>
          <w:p>
            <w:r>
              <w:rPr>
                <w:rFonts w:ascii="Times New Roman" w:hAnsi="Times New Roman"/>
                <w:sz w:val="20"/>
              </w:rPr>
              <w:t>Hartmut Geweke, Gesellschafter (§ 170 Abs. 2 StPO)</w:t>
            </w:r>
          </w:p>
        </w:tc>
      </w:tr>
      <w:tr>
        <w:tc>
          <w:tcPr>
            <w:tcW w:type="dxa" w:w="4536"/>
          </w:tcPr>
          <w:p>
            <w:r>
              <w:rPr>
                <w:rFonts w:ascii="Times New Roman" w:hAnsi="Times New Roman"/>
                <w:sz w:val="20"/>
              </w:rPr>
              <w:t>Gutachterin (Buchhaltung)</w:t>
            </w:r>
          </w:p>
        </w:tc>
        <w:tc>
          <w:tcPr>
            <w:tcW w:type="dxa" w:w="4536"/>
          </w:tcPr>
          <w:p>
            <w:r>
              <w:rPr>
                <w:rFonts w:ascii="Times New Roman" w:hAnsi="Times New Roman"/>
                <w:sz w:val="20"/>
              </w:rPr>
              <w:t>SV-Büro Tremblay &amp; Partner, Frankfurt</w:t>
            </w:r>
          </w:p>
        </w:tc>
      </w:tr>
      <w:tr>
        <w:tc>
          <w:tcPr>
            <w:tcW w:type="dxa" w:w="4536"/>
          </w:tcPr>
          <w:p>
            <w:r>
              <w:rPr>
                <w:rFonts w:ascii="Times New Roman" w:hAnsi="Times New Roman"/>
                <w:sz w:val="20"/>
              </w:rPr>
              <w:t>Steuersachverständiger</w:t>
            </w:r>
          </w:p>
        </w:tc>
        <w:tc>
          <w:tcPr>
            <w:tcW w:type="dxa" w:w="4536"/>
          </w:tcPr>
          <w:p>
            <w:r>
              <w:rPr>
                <w:rFonts w:ascii="Times New Roman" w:hAnsi="Times New Roman"/>
                <w:sz w:val="20"/>
              </w:rPr>
              <w:t>Dipl.-Kfm. Rainer Ohlsen, öff. best. SV</w:t>
            </w:r>
          </w:p>
        </w:tc>
      </w:tr>
      <w:tr>
        <w:tc>
          <w:tcPr>
            <w:tcW w:type="dxa" w:w="4536"/>
          </w:tcPr>
          <w:p>
            <w:r>
              <w:rPr>
                <w:rFonts w:ascii="Times New Roman" w:hAnsi="Times New Roman"/>
                <w:sz w:val="20"/>
              </w:rPr>
              <w:t>Unternehmen des Mandanten</w:t>
            </w:r>
          </w:p>
        </w:tc>
        <w:tc>
          <w:tcPr>
            <w:tcW w:type="dxa" w:w="4536"/>
          </w:tcPr>
          <w:p>
            <w:r>
              <w:rPr>
                <w:rFonts w:ascii="Times New Roman" w:hAnsi="Times New Roman"/>
                <w:sz w:val="20"/>
              </w:rPr>
              <w:t>Bankert Industrieautomation GmbH, Hanauer Landstraße 204, 60314 Frankfurt am Main</w:t>
            </w:r>
          </w:p>
        </w:tc>
      </w:tr>
    </w:tbl>
    <w:p/>
    <w:p>
      <w:pPr>
        <w:pStyle w:val="Heading2"/>
      </w:pPr>
      <w:r>
        <w:rPr>
          <w:rFonts w:ascii="Times New Roman" w:hAnsi="Times New Roman"/>
        </w:rPr>
        <w:t>Verfahrensstand (Stand: 12.05.2025)</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Verfahrensschritt</w:t>
            </w:r>
          </w:p>
        </w:tc>
        <w:tc>
          <w:tcPr>
            <w:tcW w:type="dxa" w:w="4536"/>
          </w:tcPr>
          <w:p>
            <w:r>
              <w:rPr>
                <w:rFonts w:ascii="Times New Roman" w:hAnsi="Times New Roman"/>
                <w:b/>
                <w:sz w:val="20"/>
              </w:rPr>
              <w:t>Status</w:t>
            </w:r>
          </w:p>
        </w:tc>
      </w:tr>
      <w:tr>
        <w:tc>
          <w:tcPr>
            <w:tcW w:type="dxa" w:w="4536"/>
          </w:tcPr>
          <w:p>
            <w:r>
              <w:rPr>
                <w:rFonts w:ascii="Times New Roman" w:hAnsi="Times New Roman"/>
                <w:sz w:val="20"/>
              </w:rPr>
              <w:t>U-Haft-Beginn</w:t>
            </w:r>
          </w:p>
        </w:tc>
        <w:tc>
          <w:tcPr>
            <w:tcW w:type="dxa" w:w="4536"/>
          </w:tcPr>
          <w:p>
            <w:r>
              <w:rPr>
                <w:rFonts w:ascii="Times New Roman" w:hAnsi="Times New Roman"/>
                <w:sz w:val="20"/>
              </w:rPr>
              <w:t>17.03.2025 (Haftbefehl LG Frankfurt v. 14.03.2025)</w:t>
            </w:r>
          </w:p>
        </w:tc>
      </w:tr>
      <w:tr>
        <w:tc>
          <w:tcPr>
            <w:tcW w:type="dxa" w:w="4536"/>
          </w:tcPr>
          <w:p>
            <w:r>
              <w:rPr>
                <w:rFonts w:ascii="Times New Roman" w:hAnsi="Times New Roman"/>
                <w:sz w:val="20"/>
              </w:rPr>
              <w:t>Haftprüfungsantrag § 117 StPO</w:t>
            </w:r>
          </w:p>
        </w:tc>
        <w:tc>
          <w:tcPr>
            <w:tcW w:type="dxa" w:w="4536"/>
          </w:tcPr>
          <w:p>
            <w:r>
              <w:rPr>
                <w:rFonts w:ascii="Times New Roman" w:hAnsi="Times New Roman"/>
                <w:sz w:val="20"/>
              </w:rPr>
              <w:t>Eingereicht 08.05.2025; Entscheidung ausstehend</w:t>
            </w:r>
          </w:p>
        </w:tc>
      </w:tr>
      <w:tr>
        <w:tc>
          <w:tcPr>
            <w:tcW w:type="dxa" w:w="4536"/>
          </w:tcPr>
          <w:p>
            <w:r>
              <w:rPr>
                <w:rFonts w:ascii="Times New Roman" w:hAnsi="Times New Roman"/>
                <w:sz w:val="20"/>
              </w:rPr>
              <w:t>Haftbeschwerde § 304 StPO</w:t>
            </w:r>
          </w:p>
        </w:tc>
        <w:tc>
          <w:tcPr>
            <w:tcW w:type="dxa" w:w="4536"/>
          </w:tcPr>
          <w:p>
            <w:r>
              <w:rPr>
                <w:rFonts w:ascii="Times New Roman" w:hAnsi="Times New Roman"/>
                <w:sz w:val="20"/>
              </w:rPr>
              <w:t>Parallel eingereicht 09.05.2025</w:t>
            </w:r>
          </w:p>
        </w:tc>
      </w:tr>
      <w:tr>
        <w:tc>
          <w:tcPr>
            <w:tcW w:type="dxa" w:w="4536"/>
          </w:tcPr>
          <w:p>
            <w:r>
              <w:rPr>
                <w:rFonts w:ascii="Times New Roman" w:hAnsi="Times New Roman"/>
                <w:sz w:val="20"/>
              </w:rPr>
              <w:t>Akteneinsicht (14 Bände)</w:t>
            </w:r>
          </w:p>
        </w:tc>
        <w:tc>
          <w:tcPr>
            <w:tcW w:type="dxa" w:w="4536"/>
          </w:tcPr>
          <w:p>
            <w:r>
              <w:rPr>
                <w:rFonts w:ascii="Times New Roman" w:hAnsi="Times New Roman"/>
                <w:sz w:val="20"/>
              </w:rPr>
              <w:t>Vollständig erhalten 02.04.2025</w:t>
            </w:r>
          </w:p>
        </w:tc>
      </w:tr>
      <w:tr>
        <w:tc>
          <w:tcPr>
            <w:tcW w:type="dxa" w:w="4536"/>
          </w:tcPr>
          <w:p>
            <w:r>
              <w:rPr>
                <w:rFonts w:ascii="Times New Roman" w:hAnsi="Times New Roman"/>
                <w:sz w:val="20"/>
              </w:rPr>
              <w:t>Auswertung Akteneinsicht</w:t>
            </w:r>
          </w:p>
        </w:tc>
        <w:tc>
          <w:tcPr>
            <w:tcW w:type="dxa" w:w="4536"/>
          </w:tcPr>
          <w:p>
            <w:r>
              <w:rPr>
                <w:rFonts w:ascii="Times New Roman" w:hAnsi="Times New Roman"/>
                <w:sz w:val="20"/>
              </w:rPr>
              <w:t>Abgeschlossen; Widersprüche dokumentiert</w:t>
            </w:r>
          </w:p>
        </w:tc>
      </w:tr>
      <w:tr>
        <w:tc>
          <w:tcPr>
            <w:tcW w:type="dxa" w:w="4536"/>
          </w:tcPr>
          <w:p>
            <w:r>
              <w:rPr>
                <w:rFonts w:ascii="Times New Roman" w:hAnsi="Times New Roman"/>
                <w:sz w:val="20"/>
              </w:rPr>
              <w:t>Anklageschrift</w:t>
            </w:r>
          </w:p>
        </w:tc>
        <w:tc>
          <w:tcPr>
            <w:tcW w:type="dxa" w:w="4536"/>
          </w:tcPr>
          <w:p>
            <w:r>
              <w:rPr>
                <w:rFonts w:ascii="Times New Roman" w:hAnsi="Times New Roman"/>
                <w:sz w:val="20"/>
              </w:rPr>
              <w:t>Zugestellt 10.04.2025</w:t>
            </w:r>
          </w:p>
        </w:tc>
      </w:tr>
      <w:tr>
        <w:tc>
          <w:tcPr>
            <w:tcW w:type="dxa" w:w="4536"/>
          </w:tcPr>
          <w:p>
            <w:r>
              <w:rPr>
                <w:rFonts w:ascii="Times New Roman" w:hAnsi="Times New Roman"/>
                <w:sz w:val="20"/>
              </w:rPr>
              <w:t>Verständigungsangebot § 257c StPO</w:t>
            </w:r>
          </w:p>
        </w:tc>
        <w:tc>
          <w:tcPr>
            <w:tcW w:type="dxa" w:w="4536"/>
          </w:tcPr>
          <w:p>
            <w:r>
              <w:rPr>
                <w:rFonts w:ascii="Times New Roman" w:hAnsi="Times New Roman"/>
                <w:sz w:val="20"/>
              </w:rPr>
              <w:t>Erhalten 28.04.2025; in Bewertung</w:t>
            </w:r>
          </w:p>
        </w:tc>
      </w:tr>
      <w:tr>
        <w:tc>
          <w:tcPr>
            <w:tcW w:type="dxa" w:w="4536"/>
          </w:tcPr>
          <w:p>
            <w:r>
              <w:rPr>
                <w:rFonts w:ascii="Times New Roman" w:hAnsi="Times New Roman"/>
                <w:sz w:val="20"/>
              </w:rPr>
              <w:t>Hauptverhandlungsbeginn</w:t>
            </w:r>
          </w:p>
        </w:tc>
        <w:tc>
          <w:tcPr>
            <w:tcW w:type="dxa" w:w="4536"/>
          </w:tcPr>
          <w:p>
            <w:r>
              <w:rPr>
                <w:rFonts w:ascii="Times New Roman" w:hAnsi="Times New Roman"/>
                <w:sz w:val="20"/>
              </w:rPr>
              <w:t>23.06.2025 (14. Große Wirtschaftsstrafkammer LG Frankfurt)</w:t>
            </w:r>
          </w:p>
        </w:tc>
      </w:tr>
      <w:tr>
        <w:tc>
          <w:tcPr>
            <w:tcW w:type="dxa" w:w="4536"/>
          </w:tcPr>
          <w:p>
            <w:r>
              <w:rPr>
                <w:rFonts w:ascii="Times New Roman" w:hAnsi="Times New Roman"/>
                <w:sz w:val="20"/>
              </w:rPr>
              <w:t>Adäsionsantrag ABC SE</w:t>
            </w:r>
          </w:p>
        </w:tc>
        <w:tc>
          <w:tcPr>
            <w:tcW w:type="dxa" w:w="4536"/>
          </w:tcPr>
          <w:p>
            <w:r>
              <w:rPr>
                <w:rFonts w:ascii="Times New Roman" w:hAnsi="Times New Roman"/>
                <w:sz w:val="20"/>
              </w:rPr>
              <w:t>Eingang 05.05.2025; Schadenssumme 3.800.000 EUR</w:t>
            </w:r>
          </w:p>
        </w:tc>
      </w:tr>
    </w:tbl>
    <w:p/>
    <w:p>
      <w:pPr>
        <w:pStyle w:val="Heading2"/>
      </w:pPr>
      <w:r>
        <w:rPr>
          <w:rFonts w:ascii="Times New Roman" w:hAnsi="Times New Roman"/>
        </w:rPr>
        <w:t>Kanzlei-Fristenübersicht (kritisch)</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Frist</w:t>
            </w:r>
          </w:p>
        </w:tc>
        <w:tc>
          <w:tcPr>
            <w:tcW w:type="dxa" w:w="3024"/>
          </w:tcPr>
          <w:p>
            <w:r>
              <w:rPr>
                <w:rFonts w:ascii="Times New Roman" w:hAnsi="Times New Roman"/>
                <w:b/>
                <w:sz w:val="20"/>
              </w:rPr>
              <w:t>Datum</w:t>
            </w:r>
          </w:p>
        </w:tc>
        <w:tc>
          <w:tcPr>
            <w:tcW w:type="dxa" w:w="3024"/>
          </w:tcPr>
          <w:p>
            <w:r>
              <w:rPr>
                <w:rFonts w:ascii="Times New Roman" w:hAnsi="Times New Roman"/>
                <w:b/>
                <w:sz w:val="20"/>
              </w:rPr>
              <w:t>Erledigt</w:t>
            </w:r>
          </w:p>
        </w:tc>
      </w:tr>
      <w:tr>
        <w:tc>
          <w:tcPr>
            <w:tcW w:type="dxa" w:w="3024"/>
          </w:tcPr>
          <w:p>
            <w:r>
              <w:rPr>
                <w:rFonts w:ascii="Times New Roman" w:hAnsi="Times New Roman"/>
                <w:sz w:val="20"/>
              </w:rPr>
              <w:t>Stellungnahme Haftbeschwerde</w:t>
            </w:r>
          </w:p>
        </w:tc>
        <w:tc>
          <w:tcPr>
            <w:tcW w:type="dxa" w:w="3024"/>
          </w:tcPr>
          <w:p>
            <w:r>
              <w:rPr>
                <w:rFonts w:ascii="Times New Roman" w:hAnsi="Times New Roman"/>
                <w:sz w:val="20"/>
              </w:rPr>
              <w:t>16.05.2025</w:t>
            </w:r>
          </w:p>
        </w:tc>
        <w:tc>
          <w:tcPr>
            <w:tcW w:type="dxa" w:w="3024"/>
          </w:tcPr>
          <w:p>
            <w:r>
              <w:rPr>
                <w:rFonts w:ascii="Times New Roman" w:hAnsi="Times New Roman"/>
                <w:sz w:val="20"/>
              </w:rPr>
              <w:t>☐</w:t>
            </w:r>
          </w:p>
        </w:tc>
      </w:tr>
      <w:tr>
        <w:tc>
          <w:tcPr>
            <w:tcW w:type="dxa" w:w="3024"/>
          </w:tcPr>
          <w:p>
            <w:r>
              <w:rPr>
                <w:rFonts w:ascii="Times New Roman" w:hAnsi="Times New Roman"/>
                <w:sz w:val="20"/>
              </w:rPr>
              <w:t>Antwort auf § 257c-Angebot</w:t>
            </w:r>
          </w:p>
        </w:tc>
        <w:tc>
          <w:tcPr>
            <w:tcW w:type="dxa" w:w="3024"/>
          </w:tcPr>
          <w:p>
            <w:r>
              <w:rPr>
                <w:rFonts w:ascii="Times New Roman" w:hAnsi="Times New Roman"/>
                <w:sz w:val="20"/>
              </w:rPr>
              <w:t>23.05.2025</w:t>
            </w:r>
          </w:p>
        </w:tc>
        <w:tc>
          <w:tcPr>
            <w:tcW w:type="dxa" w:w="3024"/>
          </w:tcPr>
          <w:p>
            <w:r>
              <w:rPr>
                <w:rFonts w:ascii="Times New Roman" w:hAnsi="Times New Roman"/>
                <w:sz w:val="20"/>
              </w:rPr>
              <w:t>☐</w:t>
            </w:r>
          </w:p>
        </w:tc>
      </w:tr>
      <w:tr>
        <w:tc>
          <w:tcPr>
            <w:tcW w:type="dxa" w:w="3024"/>
          </w:tcPr>
          <w:p>
            <w:r>
              <w:rPr>
                <w:rFonts w:ascii="Times New Roman" w:hAnsi="Times New Roman"/>
                <w:sz w:val="20"/>
              </w:rPr>
              <w:t>Beweisantragsschrift HV</w:t>
            </w:r>
          </w:p>
        </w:tc>
        <w:tc>
          <w:tcPr>
            <w:tcW w:type="dxa" w:w="3024"/>
          </w:tcPr>
          <w:p>
            <w:r>
              <w:rPr>
                <w:rFonts w:ascii="Times New Roman" w:hAnsi="Times New Roman"/>
                <w:sz w:val="20"/>
              </w:rPr>
              <w:t>09.06.2025</w:t>
            </w:r>
          </w:p>
        </w:tc>
        <w:tc>
          <w:tcPr>
            <w:tcW w:type="dxa" w:w="3024"/>
          </w:tcPr>
          <w:p>
            <w:r>
              <w:rPr>
                <w:rFonts w:ascii="Times New Roman" w:hAnsi="Times New Roman"/>
                <w:sz w:val="20"/>
              </w:rPr>
              <w:t>☐</w:t>
            </w:r>
          </w:p>
        </w:tc>
      </w:tr>
      <w:tr>
        <w:tc>
          <w:tcPr>
            <w:tcW w:type="dxa" w:w="3024"/>
          </w:tcPr>
          <w:p>
            <w:r>
              <w:rPr>
                <w:rFonts w:ascii="Times New Roman" w:hAnsi="Times New Roman"/>
                <w:sz w:val="20"/>
              </w:rPr>
              <w:t>Beginn Hauptverhandlung</w:t>
            </w:r>
          </w:p>
        </w:tc>
        <w:tc>
          <w:tcPr>
            <w:tcW w:type="dxa" w:w="3024"/>
          </w:tcPr>
          <w:p>
            <w:r>
              <w:rPr>
                <w:rFonts w:ascii="Times New Roman" w:hAnsi="Times New Roman"/>
                <w:sz w:val="20"/>
              </w:rPr>
              <w:t>23.06.2025</w:t>
            </w:r>
          </w:p>
        </w:tc>
        <w:tc>
          <w:tcPr>
            <w:tcW w:type="dxa" w:w="3024"/>
          </w:tcPr>
          <w:p>
            <w:r>
              <w:rPr>
                <w:rFonts w:ascii="Times New Roman" w:hAnsi="Times New Roman"/>
                <w:sz w:val="20"/>
              </w:rPr>
              <w:t>—</w:t>
            </w:r>
          </w:p>
        </w:tc>
      </w:tr>
    </w:tbl>
    <w:p/>
    <w:p>
      <w:pPr>
        <w:pStyle w:val="Heading2"/>
      </w:pPr>
      <w:r>
        <w:rPr>
          <w:rFonts w:ascii="Times New Roman" w:hAnsi="Times New Roman"/>
        </w:rPr>
        <w:t>Bewertung Verteidigung (Dr. F. Marx, 12.05.2025)</w:t>
      </w:r>
    </w:p>
    <w:p>
      <w:pPr>
        <w:jc w:val="left"/>
      </w:pPr>
      <w:r>
        <w:t>Die Sach- und Rechtslage ist komplex. Kernproblem des Betrugsvorwurfs ist die Frage der tatsächlichen Täuschungshandlung und des Kausalzusammenhangs zwischen den behaupteten falschen Angaben in den Angebotsdokumenten der Bankert Industrieautomation GmbH und den Kaufentscheidungen der ABC Großabnehmer SE. Die Zeugenaussagen Pollmann und Kohlrausch weisen erhebliche innere Widersprüche auf (vgl. Aktenstück 06, 07).</w:t>
      </w:r>
    </w:p>
    <w:p>
      <w:pPr>
        <w:jc w:val="left"/>
      </w:pPr>
      <w:r>
        <w:t>Der Untreuevorwurf ist auf Grundlage der vorliegenden Akten wenig tragfähig; die Staatsanwaltschaft hat keine hinreichenden Belege für eine Pflichtwidrigkeit bei der Überweisung in den Liechtenstein-Trust vorgelegt (vgl. Treuhandvertrag, Anlage B14 der Akte).</w:t>
      </w:r>
    </w:p>
    <w:p>
      <w:pPr>
        <w:jc w:val="left"/>
      </w:pPr>
      <w:r>
        <w:t>Das Verständigungsangebot ist taktisch zu prüfen (vgl. Aktenstück 11).</w:t>
      </w:r>
    </w:p>
    <w:p/>
    <w:p>
      <w:pPr>
        <w:jc w:val="left"/>
      </w:pPr>
      <w:r>
        <w:rPr>
          <w:i/>
        </w:rPr>
        <w:t>Erstellt: Dr. Friederike Marx — Marx Strafverteidigung Frankfurt — 12.05.2025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