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Haftbesuch JVA Frankfurt I</w:t>
      </w:r>
    </w:p>
    <w:p>
      <w:pPr>
        <w:jc w:val="left"/>
      </w:pPr>
      <w:r>
        <w:rPr>
          <w:b/>
        </w:rPr>
        <w:t>Marx Strafverteidigung Frankfurt</w:t>
      </w:r>
    </w:p>
    <w:p>
      <w:pPr>
        <w:jc w:val="left"/>
      </w:pPr>
      <w:r>
        <w:rPr>
          <w:b/>
        </w:rPr>
        <w:t>Vertraulich — Anwaltsgeheimnis § 53 StPO</w:t>
      </w:r>
    </w:p>
    <w:p/>
    <w:p>
      <w:pPr>
        <w:jc w:val="left"/>
      </w:pPr>
      <w:r>
        <w:rPr>
          <w:b/>
        </w:rPr>
        <w:t>Datum des Besuchs:</w:t>
      </w:r>
      <w:r>
        <w:t xml:space="preserve"> Montag, 28. April 2025, 10:15–12:40 Uhr</w:t>
      </w:r>
    </w:p>
    <w:p>
      <w:pPr>
        <w:jc w:val="left"/>
      </w:pPr>
      <w:r>
        <w:rPr>
          <w:b/>
        </w:rPr>
        <w:t>Ort:</w:t>
      </w:r>
      <w:r>
        <w:t xml:space="preserve"> JVA Frankfurt I, Besuchsraum Anwalt B-07 (Trennscheibe, kein Mithören)</w:t>
      </w:r>
    </w:p>
    <w:p>
      <w:pPr>
        <w:jc w:val="left"/>
      </w:pPr>
      <w:r>
        <w:rPr>
          <w:b/>
        </w:rPr>
        <w:t>Anwesend Verteidigung:</w:t>
      </w:r>
      <w:r>
        <w:t xml:space="preserve"> Dr. Friederike Marx</w:t>
      </w:r>
    </w:p>
    <w:p>
      <w:pPr>
        <w:jc w:val="left"/>
      </w:pPr>
      <w:r>
        <w:rPr>
          <w:b/>
        </w:rPr>
        <w:t>Anwesend Mandant:</w:t>
      </w:r>
      <w:r>
        <w:t xml:space="preserve"> Daniel Albert Bankert, Haftraum C 3.12</w:t>
      </w:r>
    </w:p>
    <w:p>
      <w:pPr>
        <w:jc w:val="left"/>
      </w:pPr>
      <w:r>
        <w:rPr>
          <w:b/>
        </w:rPr>
        <w:t>Notiert von:</w:t>
      </w:r>
      <w:r>
        <w:t xml:space="preserve"> Dr. F. Marx (Diktat, redigiert am 28.04.2025, 15:30 Uhr)</w:t>
      </w:r>
    </w:p>
    <w:p/>
    <w:p>
      <w:pPr>
        <w:pStyle w:val="Heading2"/>
      </w:pPr>
      <w:r>
        <w:rPr>
          <w:rFonts w:ascii="Times New Roman" w:hAnsi="Times New Roman"/>
        </w:rPr>
        <w:t>1. Gesundheitszustand des Mandanten</w:t>
      </w:r>
    </w:p>
    <w:p>
      <w:pPr>
        <w:jc w:val="left"/>
      </w:pPr>
      <w:r>
        <w:t>Herr Bankert macht einen angespannten, aber geistig klaren Eindruck. Er berichtet von Schlafproblemen in den ersten drei Wochen, die nach ärztlicher Behandlung (Melatonin) besser geworden seien. Er lehnt Psychopharmaka ab. Körperlich ist er in gutem Zustand. Er fragt ausdrücklich, ob seine Ehefrau (Zürich) von der Staatsanwaltschaft kontaktiert wurde. Ich habe erklärt, dass dies grundsätzlich möglich ist, aber keinerlei Auskunftspflicht der Ehefrau besteht (§ 52 StPO).</w:t>
      </w:r>
    </w:p>
    <w:p/>
    <w:p>
      <w:pPr>
        <w:pStyle w:val="Heading2"/>
      </w:pPr>
      <w:r>
        <w:rPr>
          <w:rFonts w:ascii="Times New Roman" w:hAnsi="Times New Roman"/>
        </w:rPr>
        <w:t>2. Sachverhaltsdarstellung Mandant zu den Betrugsvorwürfen</w:t>
      </w:r>
    </w:p>
    <w:p>
      <w:pPr>
        <w:jc w:val="left"/>
      </w:pPr>
      <w:r>
        <w:t>Herr Bankert bestreitet den Betrugsvorwurf kategorisch. Er schildert folgendes:</w:t>
      </w:r>
    </w:p>
    <w:p>
      <w:pPr>
        <w:jc w:val="left"/>
      </w:pPr>
      <w:r>
        <w:t>Die Lieferverträge mit ABC SE seien auf Grundlage korrekter technischer Daten geschlossen worden. Zwar habe er bei einigen Lieferungen Geräte aus der Überarbeitung (sog. „Remanufactured") verwendet, jedoch seien diese ausdrücklich als solche in den internen Lieferscheinen gekennzeichnet gewesen. Er vermutet, dass Yvonne Kohlrausch die Dokumentation nachträglich geändert hat oder dass die Unterlagen bei der Durchsuchung unvollständig sichergestellt wurden.</w:t>
      </w:r>
    </w:p>
    <w:p>
      <w:pPr>
        <w:jc w:val="left"/>
      </w:pPr>
      <w:r>
        <w:t>Auf meine Frage nach dem Zeugen Pollmann antwortet Bankert: „Pollmann hat selbst von den Remanufactured-Anlagen gewusst — wir haben das im Januar 2020 persönlich in Frankfurt besprochen. Er hat mir damals gesagt: 'Hauptsache, die Maschinen laufen.' Das war eine mündliche Absprache, die nirgendwo dokumentiert ist." Diese Einlassung ist strategisch bedeutsam und wird in der Hauptverhandlung zu prüfen sein.</w:t>
      </w:r>
    </w:p>
    <w:p/>
    <w:p>
      <w:pPr>
        <w:pStyle w:val="Heading2"/>
      </w:pPr>
      <w:r>
        <w:rPr>
          <w:rFonts w:ascii="Times New Roman" w:hAnsi="Times New Roman"/>
        </w:rPr>
        <w:t>3. Untreuevorwurf — Liechtenstein-Trust</w:t>
      </w:r>
    </w:p>
    <w:p>
      <w:pPr>
        <w:jc w:val="left"/>
      </w:pPr>
      <w:r>
        <w:t>Herr Bankert erklärt, der Transfer von 870.000 EUR in den ██████-Trust sei durch einen Treuhandvertrag gedeckt, der vor der ersten Überweisung abgeschlossen worden sei. Er weist auf Anlage B14 (bei Verteidigung vorliegend) hin und betont, Hartmut Geweke habe dem mündlich zugestimmt, da er — Geweke — selbst Nutznießer des Trust-Konstrukts sei. Er wird aufgefordert, alle E-Mails mit Geweke aus dem Jahr 2020 zu nennen; er gibt an, diese auf seinem privaten Laptop gespeichert gehabt zu haben, der bei der Durchsuchung sichergestellt wurde. Ich kündige an, auf Herausgabe der Daten zu dringen (§ 148 StPO, § 97 StPO).</w:t>
      </w:r>
    </w:p>
    <w:p>
      <w:pPr>
        <w:jc w:val="left"/>
      </w:pPr>
      <w:r>
        <w:rPr>
          <w:b/>
        </w:rPr>
        <w:t>Merke:</w:t>
      </w:r>
      <w:r>
        <w:t xml:space="preserve"> Treuhandvertrag Anlage B14 muss auf Authentizität geprüft werden — Zweifel des Sachverständigen Tremblay sind ernst zu nehmen. Gespräch mit unabhängigem Schriftsachverständigen aufnehmen.</w:t>
      </w:r>
    </w:p>
    <w:p/>
    <w:p>
      <w:pPr>
        <w:pStyle w:val="Heading2"/>
      </w:pPr>
      <w:r>
        <w:rPr>
          <w:rFonts w:ascii="Times New Roman" w:hAnsi="Times New Roman"/>
        </w:rPr>
        <w:t>4. Bestechungsvorwurf</w:t>
      </w:r>
    </w:p>
    <w:p>
      <w:pPr>
        <w:jc w:val="left"/>
      </w:pPr>
      <w:r>
        <w:t>Bankert räumt ein, dass er Pollmann „gelegentlich bewirtet" habe, bestreitet aber Barzahlungen. Die angeblichen Zahlungsbelege (Bd. VII) sollen aus einer „Schwarzen Kasse" von Hartmut Geweke stammen, die er — Bankert — nicht kontrolliert habe. Dieser Vortrag ist schwach, wird aber aufgenommen. Strategie: Zweifel an der Herkunft der Belege wecken, Beweisantrag auf Bankauskunft Geweke.</w:t>
      </w:r>
    </w:p>
    <w:p/>
    <w:p>
      <w:pPr>
        <w:pStyle w:val="Heading2"/>
      </w:pPr>
      <w:r>
        <w:rPr>
          <w:rFonts w:ascii="Times New Roman" w:hAnsi="Times New Roman"/>
        </w:rPr>
        <w:t>5. Steuerhinterziehung</w:t>
      </w:r>
    </w:p>
    <w:p>
      <w:pPr>
        <w:jc w:val="left"/>
      </w:pPr>
      <w:r>
        <w:t>Bankert bestreitet auch diesen Vorwurf. Er gibt an, die Steuererklärungen seien stets von seinem Steuerberater (Dipl.-Kfm. Bruns, Frankfurt) erstellt worden; er habe lediglich unterschrieben. Ob Bestechungszahlungen als Betriebsausgaben deklariert wurden, sei ihm nicht bekannt. Steuerberater Bruns ist zu befragen; Mandatsverhältnis klären.</w:t>
      </w:r>
    </w:p>
    <w:p/>
    <w:p>
      <w:pPr>
        <w:pStyle w:val="Heading2"/>
      </w:pPr>
      <w:r>
        <w:rPr>
          <w:rFonts w:ascii="Times New Roman" w:hAnsi="Times New Roman"/>
        </w:rPr>
        <w:t>6. Haftbedingungen</w:t>
      </w:r>
    </w:p>
    <w:p>
      <w:pPr>
        <w:jc w:val="left"/>
      </w:pPr>
      <w:r>
        <w:t>Bankert beklagt, dass ihm der Zugang zu Fachzeitschriften (Automatisierungstechnik) und einem Laptop (unvernetzt) zur Vorbereitung seiner Verteidigung verweigert wurde. Ich werde einen entsprechenden Antrag nach § 148 StPO an die Kammer stellen.</w:t>
      </w:r>
    </w:p>
    <w:p>
      <w:pPr>
        <w:jc w:val="left"/>
      </w:pPr>
      <w:r>
        <w:t xml:space="preserve">Bankert hat außerdem mitgeteilt, dass ein Mitgefangener (Zellengenosse bis vor 10 Tagen) ihn über das Verfahren befragt habe. Ich weise ihn eindringlich an, mit niemandem in der JVA über den Fall zu sprechen. </w:t>
      </w:r>
      <w:r>
        <w:rPr>
          <w:b/>
        </w:rPr>
        <w:t>V-Mann-Verdacht prüfen</w:t>
      </w:r>
      <w:r>
        <w:t xml:space="preserve"> (Notiz: Vollzugsplan des Mitgefangenen via Akteneinsicht erfragen).</w:t>
      </w:r>
    </w:p>
    <w:p/>
    <w:p>
      <w:pPr>
        <w:pStyle w:val="Heading2"/>
      </w:pPr>
      <w:r>
        <w:rPr>
          <w:rFonts w:ascii="Times New Roman" w:hAnsi="Times New Roman"/>
        </w:rPr>
        <w:t>7. Verständigung § 257c StPO</w:t>
      </w:r>
    </w:p>
    <w:p>
      <w:pPr>
        <w:jc w:val="left"/>
      </w:pPr>
      <w:r>
        <w:t>Ich habe Bankert das Verständigungsangebot der Staatsanwaltschaft (vgl. Aktenstück 11) erläutert:</w:t>
      </w:r>
    </w:p>
    <w:p>
      <w:pPr>
        <w:pStyle w:val="ListBullet"/>
      </w:pPr>
      <w:r>
        <w:t>Geständnis zu Betrug (alle 14 Fälle) und Steuerhinterziehung</w:t>
      </w:r>
    </w:p>
    <w:p>
      <w:pPr>
        <w:pStyle w:val="ListBullet"/>
      </w:pPr>
      <w:r>
        <w:t>Einstellung des Untreue- und Bestechungsvorwurfs gemäß § 154 StPO</w:t>
      </w:r>
    </w:p>
    <w:p>
      <w:pPr>
        <w:pStyle w:val="ListBullet"/>
      </w:pPr>
      <w:r>
        <w:t>Gesamtstrafe: 3 Jahre 9 Monate Freiheitsstrafe</w:t>
      </w:r>
    </w:p>
    <w:p>
      <w:pPr>
        <w:jc w:val="left"/>
      </w:pPr>
      <w:r>
        <w:t>Bankerts erste Reaktion: ablehnend. Er will keine Strafe von über 3 Jahren akzeptieren, weil dies seinen Ruf endgültig zerstöre. Ich erkläre, dass die Verhandlungsposition der Verteidigung durch die Widersprüche in den Zeugenaussagen gestärkt ist. Ich empfehle, die Entscheidung bis zum 23.05.2025 zu vertagen.</w:t>
      </w:r>
    </w:p>
    <w:p/>
    <w:p>
      <w:pPr>
        <w:pStyle w:val="Heading2"/>
      </w:pPr>
      <w:r>
        <w:rPr>
          <w:rFonts w:ascii="Times New Roman" w:hAnsi="Times New Roman"/>
        </w:rPr>
        <w:t>8. Haftbeschwerde</w:t>
      </w:r>
    </w:p>
    <w:p>
      <w:pPr>
        <w:jc w:val="left"/>
      </w:pPr>
      <w:r>
        <w:t>Bankert besteht auf sofortiger Haftbeschwerde. Er gibt an, in der JVA sei die Führung des Unternehmens nicht möglich; Bankert Industrieautomation GmbH drohe Insolvenz (vgl. Aktenstück hierzu). Ich erkläre, dass die Haftbeschwerde bereits eingereicht ist (09.05.2025).</w:t>
      </w:r>
    </w:p>
    <w:p/>
    <w:p>
      <w:pPr>
        <w:pStyle w:val="Heading2"/>
      </w:pPr>
      <w:r>
        <w:rPr>
          <w:rFonts w:ascii="Times New Roman" w:hAnsi="Times New Roman"/>
        </w:rPr>
        <w:t>9. Nächste Schritte (intern)</w:t>
      </w:r>
    </w:p>
    <w:p>
      <w:pPr>
        <w:pStyle w:val="ListBullet"/>
      </w:pPr>
      <w:r>
        <w:t>[ ] Schriftverständigengutachten Anlage B14 besorgen</w:t>
      </w:r>
    </w:p>
    <w:p>
      <w:pPr>
        <w:pStyle w:val="ListBullet"/>
      </w:pPr>
      <w:r>
        <w:t>[ ] Steuerberater Bruns befragen (§ 53 StPO Zeugnisverweigerungsrecht klären)</w:t>
      </w:r>
    </w:p>
    <w:p>
      <w:pPr>
        <w:pStyle w:val="ListBullet"/>
      </w:pPr>
      <w:r>
        <w:t>[ ] V-Mann-Verdacht Zellengenosse prüfen</w:t>
      </w:r>
    </w:p>
    <w:p>
      <w:pPr>
        <w:pStyle w:val="ListBullet"/>
      </w:pPr>
      <w:r>
        <w:t>[ ] Antrag nach § 148 StPO (Laptop/Fachzeitschriften) stellen</w:t>
      </w:r>
    </w:p>
    <w:p>
      <w:pPr>
        <w:pStyle w:val="ListBullet"/>
      </w:pPr>
      <w:r>
        <w:t>[ ] Antwort auf § 257c-Angebot vorbereiten (Frist 23.05.2025)</w:t>
      </w:r>
    </w:p>
    <w:p/>
    <w:p>
      <w:pPr>
        <w:jc w:val="left"/>
      </w:pPr>
      <w:r>
        <w:rPr>
          <w:i/>
        </w:rPr>
        <w:t>Dr. Friederike Marx — Marx Strafverteidigung Frankfurt</w:t>
      </w:r>
    </w:p>
    <w:p>
      <w:pPr>
        <w:jc w:val="left"/>
      </w:pPr>
      <w:r>
        <w:rPr>
          <w:i/>
        </w:rPr>
        <w:t>Notiz erstellt: 28.04.2025 — Vertraulich, nur für interne Verwendung</w:t>
      </w:r>
    </w:p>
    <w:p>
      <w:pPr>
        <w:jc w:val="left"/>
      </w:pPr>
      <w:r>
        <w:rPr>
          <w:i/>
        </w:rPr>
        <w:t>Az.: 5/28 KLs 122/25 / 5400 Js 14782/24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