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Auswertung Zeugenaussage Sven Pollmann — Widersprüche und Verteidigungsrelevanz</w:t>
      </w:r>
    </w:p>
    <w:p>
      <w:pPr>
        <w:jc w:val="left"/>
      </w:pPr>
      <w:r>
        <w:rPr>
          <w:b/>
        </w:rPr>
        <w:t>Marx Strafverteidigung Frankfurt</w:t>
      </w:r>
    </w:p>
    <w:p>
      <w:pPr>
        <w:jc w:val="left"/>
      </w:pPr>
      <w:r>
        <w:rPr>
          <w:b/>
        </w:rPr>
        <w:t>Vertraulich — Anwaltsgeheimnis § 53 StPO</w:t>
      </w:r>
    </w:p>
    <w:p>
      <w:pPr>
        <w:jc w:val="left"/>
      </w:pPr>
      <w:r>
        <w:t>Erstellt von: Dr. Friederike Marx / Dipl.-Kfm. O. Strenger</w:t>
      </w:r>
    </w:p>
    <w:p>
      <w:pPr>
        <w:jc w:val="left"/>
      </w:pPr>
      <w:r>
        <w:t>Datum: 22. April 2025</w:t>
      </w:r>
    </w:p>
    <w:p>
      <w:pPr>
        <w:jc w:val="left"/>
      </w:pPr>
      <w:r>
        <w:t>Az.: 5/28 KLs 122/25 / 5400 Js 14782/24</w:t>
      </w:r>
    </w:p>
    <w:p/>
    <w:p>
      <w:pPr>
        <w:pStyle w:val="Heading2"/>
      </w:pPr>
      <w:r>
        <w:rPr>
          <w:rFonts w:ascii="Times New Roman" w:hAnsi="Times New Roman"/>
        </w:rPr>
        <w:t>1. Vorbemerkung</w:t>
      </w:r>
    </w:p>
    <w:p>
      <w:pPr>
        <w:jc w:val="left"/>
      </w:pPr>
      <w:r>
        <w:t>Sven Pollmann (geb. 04.07.1971, wohnhaft ██████, Frankfurt am Main) war bis Dezember 2022 Leiter Einkauf der ABC Großabnehmer SE. Er gilt als der zentrale Belastungszeuge des Betrugs- und Bestechungsvorwurfs. Die Staatsanwaltschaft stützt die Anklage in wesentlichen Teilen auf seine Aussagen.</w:t>
      </w:r>
    </w:p>
    <w:p>
      <w:pPr>
        <w:jc w:val="left"/>
      </w:pPr>
      <w:r>
        <w:t>Pollmann wurde im Rahmen des Ermittlungsverfahrens dreimal vernommen:</w:t>
      </w:r>
    </w:p>
    <w:p>
      <w:pPr>
        <w:pStyle w:val="ListBullet"/>
      </w:pPr>
      <w:r>
        <w:rPr>
          <w:b/>
        </w:rPr>
        <w:t>Erstvernehmung:</w:t>
      </w:r>
      <w:r>
        <w:t xml:space="preserve"> 12. September 2024, Kriminalpolizei Frankfurt, Bd. IV, Bl. 712–748 (nachfolgend: V1)</w:t>
      </w:r>
    </w:p>
    <w:p>
      <w:pPr>
        <w:pStyle w:val="ListBullet"/>
      </w:pPr>
      <w:r>
        <w:rPr>
          <w:b/>
        </w:rPr>
        <w:t>Zweitvernehmung:</w:t>
      </w:r>
      <w:r>
        <w:t xml:space="preserve"> 14. November 2024, StA Frankfurt, Bd. VIII, Bl. 1620–1649 (nachfolgend: V2)</w:t>
      </w:r>
    </w:p>
    <w:p>
      <w:pPr>
        <w:pStyle w:val="ListBullet"/>
      </w:pPr>
      <w:r>
        <w:rPr>
          <w:b/>
        </w:rPr>
        <w:t>Konfrontationsvernehmung (Kohlrausch):</w:t>
      </w:r>
      <w:r>
        <w:t xml:space="preserve"> 19. Januar 2025, StA Frankfurt, Bd. XII, Bl. 2514–2538 (nachfolgend: V3)</w:t>
      </w:r>
    </w:p>
    <w:p/>
    <w:p>
      <w:pPr>
        <w:pStyle w:val="Heading2"/>
      </w:pPr>
      <w:r>
        <w:rPr>
          <w:rFonts w:ascii="Times New Roman" w:hAnsi="Times New Roman"/>
        </w:rPr>
        <w:t>2. Dokumentierte Widersprüche</w:t>
      </w:r>
    </w:p>
    <w:p>
      <w:pPr>
        <w:pStyle w:val="Heading3"/>
      </w:pPr>
      <w:r>
        <w:rPr>
          <w:rFonts w:ascii="Times New Roman" w:hAnsi="Times New Roman"/>
        </w:rPr>
        <w:t>Widerspruch 1: Kenntnis über Remanufactured-Anlagen</w:t>
      </w:r>
    </w:p>
    <w:p>
      <w:pPr>
        <w:jc w:val="left"/>
      </w:pPr>
      <w:r>
        <w:rPr>
          <w:b/>
        </w:rPr>
        <w:t>V1, Bl. 731:</w:t>
      </w:r>
      <w:r>
        <w:t xml:space="preserve"> „Ich habe zu keinem Zeitpunkt gewusst, dass die gelieferten Anlagen überarbeitete Gebrauchtmaschinen sein könnten. Die Unterlagen des Lieferanten haben stets Neuware ausgewiesen."</w:t>
      </w:r>
    </w:p>
    <w:p>
      <w:pPr>
        <w:jc w:val="left"/>
      </w:pPr>
      <w:r>
        <w:rPr>
          <w:b/>
        </w:rPr>
        <w:t>V2, Bl. 1633:</w:t>
      </w:r>
      <w:r>
        <w:t xml:space="preserve"> „Ja, es gab ein Gespräch im Januar 2020 in Frankfurt, bei dem Bankert sinngemäß gesagt hat, dass er gelegentlich günstigere Beschaffungswege nutze. Ich habe das damals nicht weiter hinterfragt."</w:t>
      </w:r>
    </w:p>
    <w:p>
      <w:pPr>
        <w:jc w:val="left"/>
      </w:pPr>
      <w:r>
        <w:rPr>
          <w:b/>
        </w:rPr>
        <w:t>Bewertung:</w:t>
      </w:r>
      <w:r>
        <w:t xml:space="preserve"> Pollmann räumt in V2 ein, dass ein Gespräch stattfand, in dem Bankert auf alternative Beschaffungswege hingewiesen hat. Dies widerspricht seiner Aussage in V1, er habe „zu keinem Zeitpunkt" von abweichenden Bezugsquellen gewusst. Die Verteidigung wird in der Hauptverhandlung auf diesen Widerspruch hinweisen und beantragen, Pollmann dazu erneut zu befragen. Dieser Widerspruch ist geeignet, die Glaubwürdigkeit des Zeugen erheblich zu erschüttern und den Kausalzusammenhang zwischen Täuschung und Vermögensverfügung infrage zu stellen.</w:t>
      </w:r>
    </w:p>
    <w:p>
      <w:pPr>
        <w:jc w:val="left"/>
      </w:pPr>
      <w:r>
        <w:rPr>
          <w:b/>
        </w:rPr>
        <w:t>Rechtlicher Ansatz:</w:t>
      </w:r>
      <w:r>
        <w:t xml:space="preserve"> Wenn Pollmann von der „Beschaffungsweise" wusste oder wissen musste, fehlt es am für § 263 StGB erforderlichen Irrtum des Verfügenden; der Betrugsvorwurf trägt in diesen Fällen nicht (vgl. BGH, Urteil vom 15.12.2006 — 5 StR 181/06, BGHSt 51, 165; BGH, Beschluss vom 18.06.2014 — 1 StR 668/13).</w:t>
      </w:r>
    </w:p>
    <w:p/>
    <w:p>
      <w:pPr>
        <w:pStyle w:val="Heading3"/>
      </w:pPr>
      <w:r>
        <w:rPr>
          <w:rFonts w:ascii="Times New Roman" w:hAnsi="Times New Roman"/>
        </w:rPr>
        <w:t>Widerspruch 2: Empfang von Vorteilen</w:t>
      </w:r>
    </w:p>
    <w:p>
      <w:pPr>
        <w:jc w:val="left"/>
      </w:pPr>
      <w:r>
        <w:rPr>
          <w:b/>
        </w:rPr>
        <w:t>V1, Bl. 739:</w:t>
      </w:r>
      <w:r>
        <w:t xml:space="preserve"> „Ich habe von Bankert oder von der Bankert Industrieautomation GmbH keinerlei Vorteile erhalten. Bewirtungen im normalen geschäftlichen Rahmen sind selbstverständlich, aber das übersteigt nie die Grenze des Üblichen."</w:t>
      </w:r>
    </w:p>
    <w:p>
      <w:pPr>
        <w:jc w:val="left"/>
      </w:pPr>
      <w:r>
        <w:rPr>
          <w:b/>
        </w:rPr>
        <w:t>V2, Bl. 1641:</w:t>
      </w:r>
      <w:r>
        <w:t xml:space="preserve"> Auf Vorhalt der aufgefundenen Zahlungsbelege (Bd. VII): „Ich kann diese Zahlungen nicht erklären. Ich weiß, dass ich einmal gemeinsam mit Bankert in Dubai war, aber das war eine eigene private Reise. Ich habe meinen Anteil selbst bezahlt." (Keine Belege hierfür vorgelegt.)</w:t>
      </w:r>
    </w:p>
    <w:p>
      <w:pPr>
        <w:jc w:val="left"/>
      </w:pPr>
      <w:r>
        <w:rPr>
          <w:b/>
        </w:rPr>
        <w:t>V3, Bl. 2521:</w:t>
      </w:r>
      <w:r>
        <w:t xml:space="preserve"> „Die Dubai-Reise wurde von der Bankert GmbH bezahlt, ja. Aber ich dachte, das sei ein legitimes Kundenbeziehungsmanagement."</w:t>
      </w:r>
    </w:p>
    <w:p>
      <w:pPr>
        <w:jc w:val="left"/>
      </w:pPr>
      <w:r>
        <w:rPr>
          <w:b/>
        </w:rPr>
        <w:t>Bewertung:</w:t>
      </w:r>
      <w:r>
        <w:t xml:space="preserve"> In V1 bestreitet Pollmann jeglichen Vorteilsempfang, in V3 räumt er ihn ein — qualifiziert ihn aber als „legitim". Dies ist ein klassischer Widerspruch, der die Glaubwürdigkeit des Zeugen erheblich beschädigt. Zudem gibt die Aussage Anlass, die Strafbarkeit des Pollmann nach § 299 Abs. 1 StGB (Bestechlichkeit im geschäftlichen Verkehr) zu prüfen — ein Aspekt, der seine Motivation für belastende Aussagen beeinflusst.</w:t>
      </w:r>
    </w:p>
    <w:p>
      <w:pPr>
        <w:jc w:val="left"/>
      </w:pPr>
      <w:r>
        <w:rPr>
          <w:b/>
        </w:rPr>
        <w:t>Rechtlicher Ansatz:</w:t>
      </w:r>
      <w:r>
        <w:t xml:space="preserve"> Die Verteidigung wird in der HV beantragen, Pollmann über seine Eigeninteressen im Verfahren zu befragen und auf die mögliche Strafbarkeit nach § 299 StGB hinzuweisen. Nach §§ 55, 60 Nr. 3 StPO besteht für ihn ein Auskunftsverweigerungsrecht; auf dieses ist er bei Bedarf hinzuweisen.</w:t>
      </w:r>
    </w:p>
    <w:p/>
    <w:p>
      <w:pPr>
        <w:pStyle w:val="Heading3"/>
      </w:pPr>
      <w:r>
        <w:rPr>
          <w:rFonts w:ascii="Times New Roman" w:hAnsi="Times New Roman"/>
        </w:rPr>
        <w:t>Widerspruch 3: Inhalte der Vertragsverhandlungen</w:t>
      </w:r>
    </w:p>
    <w:p>
      <w:pPr>
        <w:jc w:val="left"/>
      </w:pPr>
      <w:r>
        <w:rPr>
          <w:b/>
        </w:rPr>
        <w:t>V1, Bl. 724–726:</w:t>
      </w:r>
      <w:r>
        <w:t xml:space="preserve"> Pollmann beschreibt ausführlich, wie er bei Vertragsschluss stets auf die Vorlage der CE-Konformitätserklärungen und Herstellerzertifikate bestanden habe und diese ihm stets vollständig übergeben worden seien.</w:t>
      </w:r>
    </w:p>
    <w:p>
      <w:pPr>
        <w:jc w:val="left"/>
      </w:pPr>
      <w:r>
        <w:rPr>
          <w:b/>
        </w:rPr>
        <w:t>V2, Bl. 1628:</w:t>
      </w:r>
      <w:r>
        <w:t xml:space="preserve"> Auf Frage nach der Prüfung der Zertifikate erklärt Pollmann: „In der Praxis wird das selten im Detail geprüft. Die Einkaufsabteilung verlässt sich auf die mitgelieferten Unterlagen." Er gibt weiter an, dass ein interner Prüfvermerk für Anlagen über 150.000 EUR erforderlich war, der in vier der 14 Fälle fehlt.</w:t>
      </w:r>
    </w:p>
    <w:p>
      <w:pPr>
        <w:jc w:val="left"/>
      </w:pPr>
      <w:r>
        <w:rPr>
          <w:b/>
        </w:rPr>
        <w:t>Bewertung:</w:t>
      </w:r>
      <w:r>
        <w:t xml:space="preserve"> Pollmanns Aussage, er habe stets auf vollständige Zertifikate bestanden, steht im Widerspruch zu seiner späteren Einräumung, dass eine Inhaltsprüfung „in der Praxis" kaum stattfand und interne Prüfpflichten verletzt wurden. Dieser Umstand könnte ein Mitverschulden der ABC SE begründen, das im Adäsionsverfahren relevant ist, und lässt Zweifel an der vollständigen Kausalität der behaupteten Täuschung entstehen.</w:t>
      </w:r>
    </w:p>
    <w:p/>
    <w:p>
      <w:pPr>
        <w:pStyle w:val="Heading3"/>
      </w:pPr>
      <w:r>
        <w:rPr>
          <w:rFonts w:ascii="Times New Roman" w:hAnsi="Times New Roman"/>
        </w:rPr>
        <w:t>Widerspruch 4: Zeitlicher Ablauf der Entdeckung</w:t>
      </w:r>
    </w:p>
    <w:p>
      <w:pPr>
        <w:jc w:val="left"/>
      </w:pPr>
      <w:r>
        <w:rPr>
          <w:b/>
        </w:rPr>
        <w:t>V1, Bl. 744:</w:t>
      </w:r>
      <w:r>
        <w:t xml:space="preserve"> Pollmann gibt an, die Manipulationen an den Lieferdokumenten seien „im Rahmen einer internen Revision im März 2023" entdeckt worden.</w:t>
      </w:r>
    </w:p>
    <w:p>
      <w:pPr>
        <w:jc w:val="left"/>
      </w:pPr>
      <w:r>
        <w:rPr>
          <w:b/>
        </w:rPr>
        <w:t>V2, Bl. 1645:</w:t>
      </w:r>
      <w:r>
        <w:t xml:space="preserve"> Auf Vorhalt eines E-Mail-Ausdrucks (Anlage P-7, Bd. VII, Bl. 1312): „Diese E-Mail vom November 2022 zeigt, dass interne Mitarbeiter der ABC SE schon vor der Revision Verdacht hatten."</w:t>
      </w:r>
    </w:p>
    <w:p>
      <w:pPr>
        <w:jc w:val="left"/>
      </w:pPr>
      <w:r>
        <w:rPr>
          <w:b/>
        </w:rPr>
        <w:t>Bewertung:</w:t>
      </w:r>
      <w:r>
        <w:t xml:space="preserve"> Wenn Verdachtsmomente bereits im November 2022 vorlagen, stellt sich die Frage, weshalb die ABC SE die Lieferbeziehung noch bis Dezember 2022 fortsetzte. Dies könnte die Adäquanz des Schadens der letzten ein bis zwei Vertragsschlüsse infrage stellen.</w:t>
      </w:r>
    </w:p>
    <w:p/>
    <w:p>
      <w:pPr>
        <w:pStyle w:val="Heading2"/>
      </w:pPr>
      <w:r>
        <w:rPr>
          <w:rFonts w:ascii="Times New Roman" w:hAnsi="Times New Roman"/>
        </w:rPr>
        <w:t>3. Gesamtbewertung</w:t>
      </w:r>
    </w:p>
    <w:p>
      <w:pPr>
        <w:jc w:val="left"/>
      </w:pPr>
      <w:r>
        <w:t>Die Widersprüche in den Aussagen Pollmanns sind erheblich und betreffen Kernelemente des Betrugs- und Bestechungsvorwurfs:</w:t>
      </w:r>
    </w:p>
    <w:p>
      <w:pPr>
        <w:pStyle w:val="ListBullet"/>
      </w:pPr>
      <w:r>
        <w:t>Irrtum (§ 263 StGB): erhebliche Zweifel</w:t>
      </w:r>
    </w:p>
    <w:p>
      <w:pPr>
        <w:pStyle w:val="ListBullet"/>
      </w:pPr>
      <w:r>
        <w:t>Kausalität Täuschung → Vermögensverfügung: zweifelhaft in mehreren Tatkomplexen</w:t>
      </w:r>
    </w:p>
    <w:p>
      <w:pPr>
        <w:pStyle w:val="ListBullet"/>
      </w:pPr>
      <w:r>
        <w:t>Glaubwürdigkeit des Zeugen: stark erschüttert</w:t>
      </w:r>
    </w:p>
    <w:p>
      <w:pPr>
        <w:jc w:val="left"/>
      </w:pPr>
      <w:r>
        <w:rPr>
          <w:b/>
        </w:rPr>
        <w:t>Empfehlung:</w:t>
      </w:r>
      <w:r>
        <w:t xml:space="preserve"> Beweisantrag auf erneute Vernehmung Pollmanns in der Hauptverhandlung, verbunden mit dem Antrag auf Konfrontation mit den dokumentierten Widersprüchen (§ 238 Abs. 2 StPO i.V.m. § 69 StPO). Ggf. Antrag auf Einholung eines Glaubwürdigkeitsgutachtens prüfen.</w:t>
      </w:r>
    </w:p>
    <w:p/>
    <w:p>
      <w:pPr>
        <w:jc w:val="left"/>
      </w:pPr>
      <w:r>
        <w:rPr>
          <w:i/>
        </w:rPr>
        <w:t>Dr. Friederike Marx — Marx Strafverteidigung Frankfurt — Az. 5/28 KLs 122/25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