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Auswertung Zeugenaussage Yvonne Kohlrausch — Widersprüche und Verteidigungsrelevanz</w:t>
      </w:r>
    </w:p>
    <w:p>
      <w:pPr>
        <w:jc w:val="left"/>
      </w:pPr>
      <w:r>
        <w:rPr>
          <w:b/>
        </w:rPr>
        <w:t>Marx Strafverteidigung Frankfurt</w:t>
      </w:r>
    </w:p>
    <w:p>
      <w:pPr>
        <w:jc w:val="left"/>
      </w:pPr>
      <w:r>
        <w:rPr>
          <w:b/>
        </w:rPr>
        <w:t>Vertraulich — Anwaltsgeheimnis § 53 StPO</w:t>
      </w:r>
    </w:p>
    <w:p>
      <w:pPr>
        <w:jc w:val="left"/>
      </w:pPr>
      <w:r>
        <w:t>Erstellt von: Dr. Friederike Marx / Dipl.-Kfm. O. Strenger</w:t>
      </w:r>
    </w:p>
    <w:p>
      <w:pPr>
        <w:jc w:val="left"/>
      </w:pPr>
      <w:r>
        <w:t>Datum: 24. April 2025</w:t>
      </w:r>
    </w:p>
    <w:p>
      <w:pPr>
        <w:jc w:val="left"/>
      </w:pPr>
      <w:r>
        <w:t>Az.: 5/28 KLs 122/25 / 5400 Js 14782/24</w:t>
      </w:r>
    </w:p>
    <w:p/>
    <w:p>
      <w:pPr>
        <w:pStyle w:val="Heading2"/>
      </w:pPr>
      <w:r>
        <w:rPr>
          <w:rFonts w:ascii="Times New Roman" w:hAnsi="Times New Roman"/>
        </w:rPr>
        <w:t>1. Vorbemerkung</w:t>
      </w:r>
    </w:p>
    <w:p>
      <w:pPr>
        <w:jc w:val="left"/>
      </w:pPr>
      <w:r>
        <w:t>Yvonne Kohlrausch (geb. 23.02.1983, wohnhaft ██████, Frankfurt am Main) war von März 2018 bis Oktober 2023 als kaufmännische Leiterin und Buchhalterin der Bankert Industrieautomation GmbH tätig. Sie wurde nach eigenen Angaben im Oktober 2023 betriebsbedingt gekündigt; nach Darstellung des Mandanten wurde sie wegen Unregelmäßigkeiten in der Buchhaltung freigestellt. Dieser Hintergrund ist für die Bewertung ihrer Aussagen von erheblicher Bedeutung.</w:t>
      </w:r>
    </w:p>
    <w:p>
      <w:pPr>
        <w:jc w:val="left"/>
      </w:pPr>
      <w:r>
        <w:t>Kohlrausch wurde im Ermittlungsverfahren zweimal vernommen:</w:t>
      </w:r>
    </w:p>
    <w:p>
      <w:pPr>
        <w:pStyle w:val="ListBullet"/>
      </w:pPr>
      <w:r>
        <w:rPr>
          <w:b/>
        </w:rPr>
        <w:t>Erstvernehmung:</w:t>
      </w:r>
      <w:r>
        <w:t xml:space="preserve"> 18. Oktober 2024, Kriminalpolizei Frankfurt, Bd. VI, Bl. 1088–1134 (V1)</w:t>
      </w:r>
    </w:p>
    <w:p>
      <w:pPr>
        <w:pStyle w:val="ListBullet"/>
      </w:pPr>
      <w:r>
        <w:rPr>
          <w:b/>
        </w:rPr>
        <w:t>Konfrontationsvernehmung (mit Pollmann anwesend):</w:t>
      </w:r>
      <w:r>
        <w:t xml:space="preserve"> 19. Januar 2025, StA Frankfurt, Bd. XII, Bl. 2514–2538 (V2)</w:t>
      </w:r>
    </w:p>
    <w:p/>
    <w:p>
      <w:pPr>
        <w:pStyle w:val="Heading2"/>
      </w:pPr>
      <w:r>
        <w:rPr>
          <w:rFonts w:ascii="Times New Roman" w:hAnsi="Times New Roman"/>
        </w:rPr>
        <w:t>2. Dokumentierte Widersprüche</w:t>
      </w:r>
    </w:p>
    <w:p>
      <w:pPr>
        <w:pStyle w:val="Heading3"/>
      </w:pPr>
      <w:r>
        <w:rPr>
          <w:rFonts w:ascii="Times New Roman" w:hAnsi="Times New Roman"/>
        </w:rPr>
        <w:t>Widerspruch 1: Weisung zur Dokumentenänderung</w:t>
      </w:r>
    </w:p>
    <w:p>
      <w:pPr>
        <w:jc w:val="left"/>
      </w:pPr>
      <w:r>
        <w:rPr>
          <w:b/>
        </w:rPr>
        <w:t>V1, Bl. 1102:</w:t>
      </w:r>
      <w:r>
        <w:t xml:space="preserve"> „Herr Bankert hat mir persönlich angewiesen, in den Lieferscheinen die Bezeichnung 'Remanufactured' durch 'Neuware Typ A' zu ersetzen. Das hat er mir so mindestens zehnmal gesagt, zuletzt im September 2021."</w:t>
      </w:r>
    </w:p>
    <w:p>
      <w:pPr>
        <w:jc w:val="left"/>
      </w:pPr>
      <w:r>
        <w:rPr>
          <w:b/>
        </w:rPr>
        <w:t>V2, Bl. 2518:</w:t>
      </w:r>
      <w:r>
        <w:t xml:space="preserve"> „Nun, es war nicht immer eine ausdrückliche Weisung. Manchmal wurden mir die Vorlagen von Herrn Bankert übergeben, die schon die Bezeichnung 'Neuware' enthielten. Ob er die selbst geändert hat oder ob das schon so aus dem Einkauf kam, kann ich nicht sagen."</w:t>
      </w:r>
    </w:p>
    <w:p>
      <w:pPr>
        <w:jc w:val="left"/>
      </w:pPr>
      <w:r>
        <w:rPr>
          <w:b/>
        </w:rPr>
        <w:t>Bewertung:</w:t>
      </w:r>
      <w:r>
        <w:t xml:space="preserve"> In V1 behauptet Kohlrausch, sie habe ausdrückliche mündliche Weisungen erhalten, die Bezeichnungen zu ändern. In V2 relativiert sie dies dahingehend, dass die Dokumente möglicherweise bereits verändert zu ihr kamen. Dieser Widerspruch ist fundamental: Die Anklage stützt sich wesentlich auf ihre Aussage in V1 als Beleg für das täterschaftliche Handeln des Mandanten. Die in V2 geäußerte Unsicherheit untergräbt diesen Tatnachweis erheblich.</w:t>
      </w:r>
    </w:p>
    <w:p>
      <w:pPr>
        <w:jc w:val="left"/>
      </w:pPr>
      <w:r>
        <w:rPr>
          <w:b/>
        </w:rPr>
        <w:t>Rechtlicher Ansatz:</w:t>
      </w:r>
      <w:r>
        <w:t xml:space="preserve"> In der Hauptverhandlung wird zu beantragen sein, die Zeugin zu beiden Vernehmungsversionen zu befragen und auf die Divergenz hinzuweisen. Zudem ist zu prüfen, ob Kohlrausch möglicherweise selbst an den Dokumentenmanipulationen mitgewirkt hat und damit ein eigenes Tatinteresse hat, Bankert zu belasten (§ 60 Nr. 3 StPO).</w:t>
      </w:r>
    </w:p>
    <w:p/>
    <w:p>
      <w:pPr>
        <w:pStyle w:val="Heading3"/>
      </w:pPr>
      <w:r>
        <w:rPr>
          <w:rFonts w:ascii="Times New Roman" w:hAnsi="Times New Roman"/>
        </w:rPr>
        <w:t>Widerspruch 2: Kenntnis der Liechtenstein-Überweisungen</w:t>
      </w:r>
    </w:p>
    <w:p>
      <w:pPr>
        <w:jc w:val="left"/>
      </w:pPr>
      <w:r>
        <w:rPr>
          <w:b/>
        </w:rPr>
        <w:t>V1, Bl. 1117:</w:t>
      </w:r>
      <w:r>
        <w:t xml:space="preserve"> „Ich habe die Überweisungen in den Trust nach Liechtenstein immer mit Unwohlsein ausgeführt, aber Herr Bankert hat mir gesagt, das sei rechtlich in Ordnung und durch einen Gesellschafterbeschluss gedeckt."</w:t>
      </w:r>
    </w:p>
    <w:p>
      <w:pPr>
        <w:jc w:val="left"/>
      </w:pPr>
      <w:r>
        <w:rPr>
          <w:b/>
        </w:rPr>
        <w:t>V2, Bl. 2524:</w:t>
      </w:r>
      <w:r>
        <w:t xml:space="preserve"> Auf Vorhalt, dass kein Gesellschafterbeschluss gefunden wurde: „Es gab tatsächlich eine Besprechung, ich glaube im September 2020, bei der auch Herr Geweke anwesend war. Was dabei genau beschlossen wurde, weiß ich nicht. Ich bin davon ausgegangen, dass das in Ordnung ist."</w:t>
      </w:r>
    </w:p>
    <w:p>
      <w:pPr>
        <w:jc w:val="left"/>
      </w:pPr>
      <w:r>
        <w:rPr>
          <w:b/>
        </w:rPr>
        <w:t>Bewertung:</w:t>
      </w:r>
      <w:r>
        <w:t xml:space="preserve"> Kohlrausch bestätigt in V2 das Vorhandensein einer Besprechung mit Gesellschafter Geweke vor den ersten Überweisungen. Dies stützt die Einlassung des Mandanten, wonach Geweke mündlich zugestimmt hatte. Der Widerspruch liegt darin, dass Kohlrausch in V1 suggeriert, Bankert allein habe die Weisungen gegeben, während sie in V2 Geweke als Teilnehmer einer relevanten Besprechung nennt.</w:t>
      </w:r>
    </w:p>
    <w:p>
      <w:pPr>
        <w:jc w:val="left"/>
      </w:pPr>
      <w:r>
        <w:rPr>
          <w:b/>
        </w:rPr>
        <w:t>Rechtlicher Ansatz:</w:t>
      </w:r>
      <w:r>
        <w:t xml:space="preserve"> Antrag auf Vernehmung Geweke zu dieser Besprechung (§ 244 Abs. 2 StPO); Antrag auf Vorlage der Einladungsunterlagen für die Besprechung (Outlook-Kalender Kohlrausch, sichergestellt bei Durchsuchung).</w:t>
      </w:r>
    </w:p>
    <w:p/>
    <w:p>
      <w:pPr>
        <w:pStyle w:val="Heading3"/>
      </w:pPr>
      <w:r>
        <w:rPr>
          <w:rFonts w:ascii="Times New Roman" w:hAnsi="Times New Roman"/>
        </w:rPr>
        <w:t>Widerspruch 3: Kenntnis der Bestechungszahlungen</w:t>
      </w:r>
    </w:p>
    <w:p>
      <w:pPr>
        <w:jc w:val="left"/>
      </w:pPr>
      <w:r>
        <w:rPr>
          <w:b/>
        </w:rPr>
        <w:t>V1, Bl. 1124:</w:t>
      </w:r>
      <w:r>
        <w:t xml:space="preserve"> „Ich wusste, dass Herr Bankert Pollmann Geschenke und Geld gegeben hat. Er hat mir einmal gesagt: 'Das ist Vertrieb, das läuft anders.' Ich habe nie selbst Geld übergeben."</w:t>
      </w:r>
    </w:p>
    <w:p>
      <w:pPr>
        <w:jc w:val="left"/>
      </w:pPr>
      <w:r>
        <w:rPr>
          <w:b/>
        </w:rPr>
        <w:t>V2, Bl. 2531:</w:t>
      </w:r>
      <w:r>
        <w:t xml:space="preserve"> „Ob es Bargeld war oder Sachleistungen, kann ich nicht sagen. Ich habe Zahlungsbelege gesehen, die als 'Repräsentationskosten' verbucht waren. Ob das wirklich für Pollmann war oder für andere Geschäftszwecke, weiß ich nicht sicher."</w:t>
      </w:r>
    </w:p>
    <w:p>
      <w:pPr>
        <w:jc w:val="left"/>
      </w:pPr>
      <w:r>
        <w:rPr>
          <w:b/>
        </w:rPr>
        <w:t>Bewertung:</w:t>
      </w:r>
      <w:r>
        <w:t xml:space="preserve"> In V1 behauptet Kohlrausch Wissen über konkrete Geldzahlungen an Pollmann; in V2 relativiert sie auf allgemeine „Repräsentationskosten" und schließt nicht aus, dass die Verbuchung anderen Zwecken diente. Dieser Rückzug ist für die Verteidigung günstig: Die Anklage braucht konkrete Belege, nicht Spekulationen über Buchungszeilen.</w:t>
      </w:r>
    </w:p>
    <w:p/>
    <w:p>
      <w:pPr>
        <w:pStyle w:val="Heading3"/>
      </w:pPr>
      <w:r>
        <w:rPr>
          <w:rFonts w:ascii="Times New Roman" w:hAnsi="Times New Roman"/>
        </w:rPr>
        <w:t>Widerspruch 4: Kündigungsumstände und Motivation</w:t>
      </w:r>
    </w:p>
    <w:p>
      <w:pPr>
        <w:jc w:val="left"/>
      </w:pPr>
      <w:r>
        <w:rPr>
          <w:b/>
        </w:rPr>
        <w:t>V1, Bl. 1130–1131:</w:t>
      </w:r>
      <w:r>
        <w:t xml:space="preserve"> Kohlrausch gibt an, ihr sei „betriebsbedingt" gekündigt worden und sie habe keine persönlichen Konflikte mit Bankert gehabt.</w:t>
      </w:r>
    </w:p>
    <w:p>
      <w:pPr>
        <w:jc w:val="left"/>
      </w:pPr>
      <w:r>
        <w:rPr>
          <w:b/>
        </w:rPr>
        <w:t>Aus der Akte, Bd. IX, Bl. 1880:</w:t>
      </w:r>
      <w:r>
        <w:t xml:space="preserve"> Aufgefundene E-Mail Kohlrausch an Bankert vom 15.09.2023 (vor der Kündigung): „...wenn Sie meine Sonderleistungen für die Überweisungen nach Liechtenstein weiter in Anspruch nehmen, erwarte ich eine angemessene Vergütung. Ich habe die Unterlagen gesichert."</w:t>
      </w:r>
    </w:p>
    <w:p>
      <w:pPr>
        <w:jc w:val="left"/>
      </w:pPr>
      <w:r>
        <w:rPr>
          <w:b/>
        </w:rPr>
        <w:t>Bewertung:</w:t>
      </w:r>
      <w:r>
        <w:t xml:space="preserve"> Diese E-Mail — die die Verteidigung im Rahmen der Akteneinsicht entdeckt hat — legt nahe, dass Kohlrausch Kenntnis von potenziell strafbaren Handlungen hatte und diese als Druckmittel einsetzte. Die Frage ihrer eigenen Strafbarkeit nach § 370 AO (Beihilfe) und § 253 StGB (Erpressung) stellt sich. Die in V1 behauptete Konfliktneutralität ist schlicht unwahr.</w:t>
      </w:r>
    </w:p>
    <w:p>
      <w:pPr>
        <w:jc w:val="left"/>
      </w:pPr>
      <w:r>
        <w:rPr>
          <w:b/>
        </w:rPr>
        <w:t>Rechtlicher Ansatz:</w:t>
      </w:r>
      <w:r>
        <w:t xml:space="preserve"> Einführung der E-Mail (Bd. IX, Bl. 1880) als Beweisstück in der HV; Befragung Kohlrausch zu ihrer Motivation; Antrag auf Belehrung über das Auskunftsverweigerungsrecht (§ 55 StPO) hinsichtlich eigener Strafbarkeit.</w:t>
      </w:r>
    </w:p>
    <w:p/>
    <w:p>
      <w:pPr>
        <w:pStyle w:val="Heading2"/>
      </w:pPr>
      <w:r>
        <w:rPr>
          <w:rFonts w:ascii="Times New Roman" w:hAnsi="Times New Roman"/>
        </w:rPr>
        <w:t>3. Motivlage der Zeugin</w:t>
      </w:r>
    </w:p>
    <w:p>
      <w:pPr>
        <w:jc w:val="left"/>
      </w:pPr>
      <w:r>
        <w:t>Kohlrausch hat nach allem, was die Akten ergeben, ein eigenes Interesse daran, Bankert zu belasten:</w:t>
      </w:r>
    </w:p>
    <w:p>
      <w:pPr>
        <w:pStyle w:val="ListBullet"/>
      </w:pPr>
      <w:r>
        <w:t>Sie wurde faktisch freigestellt, nicht „betriebsbedingt" entlassen.</w:t>
      </w:r>
    </w:p>
    <w:p>
      <w:pPr>
        <w:pStyle w:val="ListBullet"/>
      </w:pPr>
      <w:r>
        <w:t>Sie hat offensichtlich selbst Unterlagen gesichert und damit zumindest Vorbereitungshandlungen unternommen, die auf eine geplante Kooperation mit der Staatsanwaltschaft hindeuten.</w:t>
      </w:r>
    </w:p>
    <w:p>
      <w:pPr>
        <w:pStyle w:val="ListBullet"/>
      </w:pPr>
      <w:r>
        <w:t>Die E-Mail vom 15.09.2023 legt eine Erpressungssituation nahe.</w:t>
      </w:r>
    </w:p>
    <w:p>
      <w:pPr>
        <w:jc w:val="left"/>
      </w:pPr>
      <w:r>
        <w:t>Diese Motivlage ist dem Gericht in der Hauptverhandlung im Wege der Beweisführung und des rechtlichen Vortrags zu unterbreiten.</w:t>
      </w:r>
    </w:p>
    <w:p/>
    <w:p>
      <w:pPr>
        <w:pStyle w:val="Heading2"/>
      </w:pPr>
      <w:r>
        <w:rPr>
          <w:rFonts w:ascii="Times New Roman" w:hAnsi="Times New Roman"/>
        </w:rPr>
        <w:t>4. Gesamtbewertung</w:t>
      </w:r>
    </w:p>
    <w:p>
      <w:pPr>
        <w:jc w:val="left"/>
      </w:pPr>
      <w:r>
        <w:t>Kohlrausch ist eine Zeugin mit erheblichen Glaubwürdigkeitsdefiziten. Ihre Aussagen sind in mehreren Kernpunkten intern widersprüchlich und lassen sich mit dem Akteninhalt (E-Mail Bd. IX) nicht in Einklang bringen. Die Verteidigung kann im Rahmen der Hauptverhandlung durch gezielte Befragung erhebliche Zweifel an der Verlässlichkeit ihrer Bekundungen wecken.</w:t>
      </w:r>
    </w:p>
    <w:p>
      <w:pPr>
        <w:jc w:val="left"/>
      </w:pPr>
      <w:r>
        <w:rPr>
          <w:b/>
        </w:rPr>
        <w:t>Empfehlung:</w:t>
      </w:r>
      <w:r>
        <w:t xml:space="preserve"> Beweisantrag auf Einholung eines psychologischen Glaubwürdigkeitsgutachtens erwägen. Konfrontation mit E-Mail sorgfältig vorbereiten (Überraschungsmoment).</w:t>
      </w:r>
    </w:p>
    <w:p/>
    <w:p>
      <w:pPr>
        <w:jc w:val="left"/>
      </w:pPr>
      <w:r>
        <w:rPr>
          <w:i/>
        </w:rPr>
        <w:t>Dr. Friederike Marx — Marx Strafverteidigung Frankfurt — Az. 5/28 KLs 122/25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